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4D58A" w14:textId="77777777" w:rsidR="00AC4FCE" w:rsidRPr="00AE1661" w:rsidRDefault="00AC4FCE" w:rsidP="00770981">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p>
    <w:p w14:paraId="3150F63C" w14:textId="77777777" w:rsidR="0071415A" w:rsidRDefault="0071415A" w:rsidP="00770981">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14:paraId="05EABD43" w14:textId="77777777" w:rsidR="009D6244" w:rsidRDefault="009D6244" w:rsidP="00770981">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14:paraId="196B744E" w14:textId="77777777" w:rsidR="009D6244" w:rsidRPr="009D6244" w:rsidRDefault="009D6244" w:rsidP="00770981">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14:paraId="79F3994B" w14:textId="77777777" w:rsidR="00193C7A" w:rsidRPr="00193C7A" w:rsidRDefault="00193C7A" w:rsidP="00770981">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114CC1F8" w14:textId="77777777" w:rsidR="00193C7A" w:rsidRPr="00193C7A" w:rsidRDefault="00193C7A" w:rsidP="00770981">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48B9F3FA" w14:textId="77777777" w:rsidR="00193C7A" w:rsidRPr="00193C7A" w:rsidRDefault="00193C7A" w:rsidP="00770981">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20D19018" w14:textId="77777777" w:rsidR="00193C7A" w:rsidRPr="00193C7A" w:rsidRDefault="00193C7A" w:rsidP="00770981">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2291AD21" w14:textId="0DE46E89" w:rsidR="00B04866" w:rsidRPr="00B04866" w:rsidRDefault="008A740C" w:rsidP="00770981">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и ал. 5 ЗОП (І етап)</w:t>
      </w:r>
    </w:p>
    <w:p w14:paraId="49AB9E9C" w14:textId="0F71469A" w:rsidR="00B04866" w:rsidRPr="00B04866" w:rsidRDefault="008A740C" w:rsidP="00770981">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и ал. 5 ЗОП (ІІ етап)</w:t>
      </w:r>
    </w:p>
    <w:p w14:paraId="57F0956C" w14:textId="77777777" w:rsidR="00B04866" w:rsidRPr="00B04866" w:rsidRDefault="00B04866" w:rsidP="00770981">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работата на комисията по чл. 103 ЗОП</w:t>
      </w:r>
    </w:p>
    <w:p w14:paraId="43A12667" w14:textId="77777777" w:rsidR="00B04866" w:rsidRDefault="00B04866" w:rsidP="00770981">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4A599A52" w14:textId="77777777" w:rsidR="009D6244" w:rsidRPr="00B04866" w:rsidRDefault="009D6244" w:rsidP="00770981">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184B12EA" w14:textId="77777777" w:rsidR="001C6973" w:rsidRPr="001C6973" w:rsidRDefault="001C6973" w:rsidP="00770981">
      <w:pPr>
        <w:spacing w:after="0" w:line="370" w:lineRule="exact"/>
        <w:ind w:firstLine="0"/>
        <w:jc w:val="left"/>
        <w:rPr>
          <w:rFonts w:ascii="Times New Roman" w:hAnsi="Times New Roman" w:cs="Arial"/>
        </w:rPr>
      </w:pPr>
    </w:p>
    <w:p w14:paraId="13215827" w14:textId="77777777" w:rsidR="001C6973" w:rsidRPr="001C6973" w:rsidRDefault="001C6973" w:rsidP="0077098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013F8C0A" w14:textId="77777777" w:rsidR="001C6973" w:rsidRPr="001C6973" w:rsidRDefault="001C6973" w:rsidP="00770981">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7DEC1420" w14:textId="77777777" w:rsidR="001C6973" w:rsidRPr="001C6973" w:rsidRDefault="001C6973" w:rsidP="00770981">
      <w:pPr>
        <w:tabs>
          <w:tab w:val="right" w:pos="9360"/>
        </w:tabs>
        <w:spacing w:after="0" w:line="240" w:lineRule="auto"/>
        <w:ind w:firstLine="0"/>
        <w:rPr>
          <w:rFonts w:ascii="Times New Roman" w:hAnsi="Times New Roman"/>
          <w:szCs w:val="24"/>
          <w:lang w:val="en-US" w:eastAsia="bg-BG"/>
        </w:rPr>
      </w:pPr>
    </w:p>
    <w:tbl>
      <w:tblPr>
        <w:tblW w:w="935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82"/>
        <w:gridCol w:w="5873"/>
      </w:tblGrid>
      <w:tr w:rsidR="00D94DB1" w:rsidRPr="001C6973" w14:paraId="5A61F0B0" w14:textId="77777777" w:rsidTr="00204EF2">
        <w:trPr>
          <w:trHeight w:val="20"/>
        </w:trPr>
        <w:tc>
          <w:tcPr>
            <w:tcW w:w="3482" w:type="dxa"/>
            <w:tcBorders>
              <w:top w:val="single" w:sz="12" w:space="0" w:color="auto"/>
              <w:left w:val="single" w:sz="12" w:space="0" w:color="auto"/>
              <w:bottom w:val="single" w:sz="2" w:space="0" w:color="auto"/>
              <w:right w:val="single" w:sz="2" w:space="0" w:color="auto"/>
            </w:tcBorders>
            <w:vAlign w:val="center"/>
            <w:hideMark/>
          </w:tcPr>
          <w:p w14:paraId="64CD0E2E"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73" w:type="dxa"/>
            <w:tcBorders>
              <w:top w:val="single" w:sz="12" w:space="0" w:color="auto"/>
              <w:left w:val="single" w:sz="2" w:space="0" w:color="auto"/>
              <w:bottom w:val="single" w:sz="2" w:space="0" w:color="auto"/>
              <w:right w:val="single" w:sz="12" w:space="0" w:color="auto"/>
            </w:tcBorders>
            <w:vAlign w:val="center"/>
          </w:tcPr>
          <w:p w14:paraId="29A5D826" w14:textId="2EE6B3BC" w:rsidR="001C6973" w:rsidRPr="001C6973" w:rsidRDefault="0074599D" w:rsidP="00770981">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74599D">
              <w:rPr>
                <w:rFonts w:ascii="Times New Roman" w:hAnsi="Times New Roman"/>
                <w:szCs w:val="24"/>
                <w:lang w:eastAsia="bg-BG"/>
              </w:rPr>
              <w:t>КСИ-233</w:t>
            </w:r>
            <w:r>
              <w:rPr>
                <w:rFonts w:ascii="Times New Roman" w:hAnsi="Times New Roman"/>
                <w:szCs w:val="24"/>
                <w:lang w:eastAsia="bg-BG"/>
              </w:rPr>
              <w:t>/2018</w:t>
            </w:r>
            <w:r w:rsidR="00581A3B">
              <w:rPr>
                <w:rFonts w:ascii="Times New Roman" w:hAnsi="Times New Roman"/>
                <w:szCs w:val="24"/>
                <w:lang w:eastAsia="bg-BG"/>
              </w:rPr>
              <w:t xml:space="preserve"> г.</w:t>
            </w:r>
          </w:p>
        </w:tc>
      </w:tr>
      <w:tr w:rsidR="00D94DB1" w:rsidRPr="001C6973" w14:paraId="2783F286"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7A5B6354"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73" w:type="dxa"/>
            <w:tcBorders>
              <w:top w:val="single" w:sz="2" w:space="0" w:color="auto"/>
              <w:left w:val="single" w:sz="2" w:space="0" w:color="auto"/>
              <w:bottom w:val="single" w:sz="2" w:space="0" w:color="auto"/>
              <w:right w:val="single" w:sz="12" w:space="0" w:color="auto"/>
            </w:tcBorders>
            <w:vAlign w:val="center"/>
          </w:tcPr>
          <w:p w14:paraId="1EFE9417" w14:textId="77777777" w:rsidR="001C6973" w:rsidRPr="001C6973" w:rsidRDefault="0074599D" w:rsidP="00770981">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20181126-00072-0020</w:t>
            </w:r>
          </w:p>
        </w:tc>
      </w:tr>
      <w:tr w:rsidR="00D94DB1" w:rsidRPr="001C6973" w14:paraId="5F928C48"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tcPr>
          <w:p w14:paraId="0BFBD30D"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73" w:type="dxa"/>
            <w:tcBorders>
              <w:top w:val="single" w:sz="2" w:space="0" w:color="auto"/>
              <w:left w:val="single" w:sz="2" w:space="0" w:color="auto"/>
              <w:bottom w:val="single" w:sz="2" w:space="0" w:color="auto"/>
              <w:right w:val="single" w:sz="12" w:space="0" w:color="auto"/>
            </w:tcBorders>
            <w:vAlign w:val="center"/>
          </w:tcPr>
          <w:p w14:paraId="56DC616E" w14:textId="77777777" w:rsidR="001C6973" w:rsidRPr="001C6973" w:rsidRDefault="00286B6D" w:rsidP="00770981">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О</w:t>
            </w:r>
            <w:r w:rsidRPr="0074599D">
              <w:rPr>
                <w:rFonts w:ascii="Times New Roman" w:hAnsi="Times New Roman"/>
                <w:b/>
                <w:szCs w:val="24"/>
                <w:lang w:eastAsia="bg-BG"/>
              </w:rPr>
              <w:t xml:space="preserve">бщина </w:t>
            </w:r>
            <w:r>
              <w:rPr>
                <w:rFonts w:ascii="Times New Roman" w:hAnsi="Times New Roman"/>
                <w:b/>
                <w:szCs w:val="24"/>
                <w:lang w:eastAsia="bg-BG"/>
              </w:rPr>
              <w:t>К</w:t>
            </w:r>
            <w:r w:rsidRPr="0074599D">
              <w:rPr>
                <w:rFonts w:ascii="Times New Roman" w:hAnsi="Times New Roman"/>
                <w:b/>
                <w:szCs w:val="24"/>
                <w:lang w:eastAsia="bg-BG"/>
              </w:rPr>
              <w:t>арлово</w:t>
            </w:r>
          </w:p>
        </w:tc>
      </w:tr>
      <w:tr w:rsidR="00D94DB1" w:rsidRPr="001C6973" w14:paraId="578571F5"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141C7F66"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24502C58" w14:textId="77777777" w:rsidR="001C6973" w:rsidRPr="001C6973" w:rsidRDefault="0074599D" w:rsidP="00770981">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32C1FFF7" w14:textId="77777777" w:rsidR="001C6973" w:rsidRPr="001C6973" w:rsidRDefault="001C6973" w:rsidP="00770981">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70B3E936"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3571ABEE"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64DDA0D3" w14:textId="77777777" w:rsidR="001C6973" w:rsidRPr="001C6973" w:rsidRDefault="003627DF" w:rsidP="00770981">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p w14:paraId="256FB6EA" w14:textId="77777777" w:rsidR="001C6973" w:rsidRPr="001C6973" w:rsidRDefault="001C6973" w:rsidP="00770981">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Ограничена </w:t>
            </w:r>
          </w:p>
          <w:p w14:paraId="49C8F6F0" w14:textId="77777777" w:rsidR="001C6973" w:rsidRPr="001C6973" w:rsidRDefault="001C6973" w:rsidP="00770981">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Състезателна процедура с договаряне</w:t>
            </w:r>
          </w:p>
          <w:p w14:paraId="3DB63D6A" w14:textId="77777777" w:rsidR="001C6973" w:rsidRPr="001C6973" w:rsidRDefault="001C6973" w:rsidP="00770981">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с предварителна покана за участие</w:t>
            </w:r>
          </w:p>
          <w:p w14:paraId="135ED863" w14:textId="77777777" w:rsidR="001C6973" w:rsidRPr="001C6973" w:rsidRDefault="001C6973" w:rsidP="00770981">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Състезателен диалог</w:t>
            </w:r>
          </w:p>
          <w:p w14:paraId="38A00F61" w14:textId="77777777" w:rsidR="001C6973" w:rsidRPr="001C6973" w:rsidRDefault="001C6973" w:rsidP="00770981">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Партньорство за иновации</w:t>
            </w:r>
          </w:p>
          <w:p w14:paraId="6F7AC5AA" w14:textId="77777777" w:rsidR="001C6973" w:rsidRPr="001C6973" w:rsidRDefault="001C6973" w:rsidP="00770981">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без предварително обявление</w:t>
            </w:r>
          </w:p>
          <w:p w14:paraId="53FE0B42" w14:textId="77777777" w:rsidR="001C6973" w:rsidRPr="001C6973" w:rsidRDefault="001C6973" w:rsidP="00770981">
            <w:pPr>
              <w:tabs>
                <w:tab w:val="left" w:pos="583"/>
                <w:tab w:val="right" w:pos="9360"/>
              </w:tabs>
              <w:spacing w:before="60" w:after="60" w:line="240" w:lineRule="auto"/>
              <w:ind w:left="625" w:hanging="567"/>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без предварителна покана за участие</w:t>
            </w:r>
          </w:p>
          <w:p w14:paraId="5402D099" w14:textId="77777777" w:rsidR="001C6973" w:rsidRPr="001C6973" w:rsidRDefault="001C6973" w:rsidP="00770981">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Конкурс за проект</w:t>
            </w:r>
          </w:p>
          <w:p w14:paraId="0B094D76" w14:textId="77777777" w:rsidR="001C6973" w:rsidRPr="001C6973" w:rsidRDefault="001C6973" w:rsidP="00770981">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Публично състезание</w:t>
            </w:r>
          </w:p>
          <w:p w14:paraId="7EED4D1A" w14:textId="77777777" w:rsidR="001C6973" w:rsidRPr="001C6973" w:rsidRDefault="001C6973" w:rsidP="00770981">
            <w:pPr>
              <w:tabs>
                <w:tab w:val="left" w:pos="583"/>
                <w:tab w:val="right" w:pos="9360"/>
              </w:tabs>
              <w:spacing w:before="60" w:after="60" w:line="240" w:lineRule="auto"/>
              <w:ind w:left="43" w:firstLine="0"/>
              <w:jc w:val="left"/>
              <w:rPr>
                <w:rFonts w:ascii="Times New Roman" w:hAnsi="Times New Roman"/>
                <w:szCs w:val="24"/>
                <w:lang w:val="ru-RU"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Пряко договаряне</w:t>
            </w:r>
          </w:p>
        </w:tc>
      </w:tr>
      <w:tr w:rsidR="00D94DB1" w:rsidRPr="001C6973" w14:paraId="4E5EE724"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tcPr>
          <w:p w14:paraId="4106A5BE"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73" w:type="dxa"/>
            <w:tcBorders>
              <w:top w:val="single" w:sz="2" w:space="0" w:color="auto"/>
              <w:left w:val="single" w:sz="2" w:space="0" w:color="auto"/>
              <w:bottom w:val="single" w:sz="2" w:space="0" w:color="auto"/>
              <w:right w:val="single" w:sz="12" w:space="0" w:color="auto"/>
            </w:tcBorders>
            <w:vAlign w:val="center"/>
          </w:tcPr>
          <w:p w14:paraId="37113DDE" w14:textId="77777777" w:rsidR="001C6973" w:rsidRPr="001C6973" w:rsidRDefault="001C6973" w:rsidP="00770981">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2B7F514E" w14:textId="77777777" w:rsidR="001C6973" w:rsidRPr="001C6973" w:rsidRDefault="00732965" w:rsidP="00770981">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F61A96"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29D626B2"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Обект на поръчката: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1797539B" w14:textId="77777777" w:rsidR="001C6973" w:rsidRPr="001C6973" w:rsidRDefault="001C6973" w:rsidP="00770981">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236F2C17" w14:textId="77777777" w:rsidR="001C6973" w:rsidRPr="001C6973" w:rsidRDefault="001C6973" w:rsidP="00770981">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5"/>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Доставки</w:t>
            </w:r>
          </w:p>
          <w:p w14:paraId="7AFB2C78" w14:textId="77777777" w:rsidR="001C6973" w:rsidRPr="001C6973" w:rsidRDefault="0074599D" w:rsidP="00770981">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6"/>
                  <w:enabled/>
                  <w:calcOnExit w:val="0"/>
                  <w:checkBox>
                    <w:sizeAuto/>
                    <w:default w:val="1"/>
                  </w:checkBox>
                </w:ffData>
              </w:fldChar>
            </w:r>
            <w:bookmarkStart w:id="1" w:name="Check36"/>
            <w:r>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Услуги</w:t>
            </w:r>
          </w:p>
          <w:p w14:paraId="10E5E7B1" w14:textId="77777777" w:rsidR="001C6973" w:rsidRPr="001C6973" w:rsidRDefault="001C6973" w:rsidP="00770981">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6131CFE9"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2266C98E"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73" w:type="dxa"/>
            <w:tcBorders>
              <w:top w:val="single" w:sz="2" w:space="0" w:color="auto"/>
              <w:left w:val="single" w:sz="2" w:space="0" w:color="auto"/>
              <w:bottom w:val="single" w:sz="2" w:space="0" w:color="auto"/>
              <w:right w:val="single" w:sz="12" w:space="0" w:color="auto"/>
            </w:tcBorders>
            <w:vAlign w:val="center"/>
          </w:tcPr>
          <w:p w14:paraId="5C4F16FD" w14:textId="77777777" w:rsidR="001C6973" w:rsidRPr="001C6973" w:rsidRDefault="0074599D" w:rsidP="00770981">
            <w:pPr>
              <w:tabs>
                <w:tab w:val="left" w:pos="5983"/>
                <w:tab w:val="left" w:pos="7123"/>
                <w:tab w:val="right" w:pos="9360"/>
              </w:tabs>
              <w:spacing w:before="60" w:after="60" w:line="240" w:lineRule="auto"/>
              <w:ind w:left="45" w:firstLine="0"/>
              <w:rPr>
                <w:rFonts w:ascii="Times New Roman" w:hAnsi="Times New Roman"/>
                <w:szCs w:val="24"/>
                <w:lang w:eastAsia="bg-BG"/>
              </w:rPr>
            </w:pPr>
            <w:r w:rsidRPr="0074599D">
              <w:rPr>
                <w:rFonts w:ascii="Times New Roman" w:hAnsi="Times New Roman"/>
                <w:szCs w:val="24"/>
                <w:lang w:eastAsia="bg-BG"/>
              </w:rPr>
              <w:t>Избор на изпълнител за упражняване на строителен надзор на СМР за: „Реконструкция и рехабилитация на водоснабдителни мрежи в с. Слатина, с. Дъбене, с. Войнягово, с. Климент, с. Каравелово, с. Богдан, с. Ведраре, с. Васил Левски и гр.Клисура – Община Карлово, Област Пловдив”, по обособе</w:t>
            </w:r>
            <w:r w:rsidR="002D293A">
              <w:rPr>
                <w:rFonts w:ascii="Times New Roman" w:hAnsi="Times New Roman"/>
                <w:szCs w:val="24"/>
                <w:lang w:eastAsia="bg-BG"/>
              </w:rPr>
              <w:t>н</w:t>
            </w:r>
            <w:r w:rsidRPr="0074599D">
              <w:rPr>
                <w:rFonts w:ascii="Times New Roman" w:hAnsi="Times New Roman"/>
                <w:szCs w:val="24"/>
                <w:lang w:eastAsia="bg-BG"/>
              </w:rPr>
              <w:t>и позиции.</w:t>
            </w:r>
          </w:p>
        </w:tc>
      </w:tr>
      <w:tr w:rsidR="00D94DB1" w:rsidRPr="001C6973" w14:paraId="7BA6BD2F"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4F01FBFB"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1A2C99F6" w14:textId="77777777" w:rsidR="001C6973" w:rsidRPr="001C6973" w:rsidRDefault="0074599D" w:rsidP="00770981">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r w:rsidR="001C6973" w:rsidRPr="001C6973">
              <w:rPr>
                <w:rFonts w:ascii="Times New Roman" w:hAnsi="Times New Roman"/>
                <w:szCs w:val="24"/>
                <w:lang w:val="en-US" w:eastAsia="bg-BG"/>
              </w:rPr>
              <w:t xml:space="preserve">              </w:t>
            </w:r>
            <w:r w:rsidR="001C6973" w:rsidRPr="001C6973">
              <w:rPr>
                <w:rFonts w:ascii="Times New Roman" w:hAnsi="Times New Roman"/>
                <w:szCs w:val="24"/>
                <w:lang w:eastAsia="bg-BG"/>
              </w:rPr>
              <w:t xml:space="preserve">             Брой: </w:t>
            </w:r>
            <w:r w:rsidR="002D293A">
              <w:rPr>
                <w:rFonts w:ascii="Times New Roman" w:hAnsi="Times New Roman"/>
                <w:szCs w:val="24"/>
                <w:lang w:eastAsia="bg-BG"/>
              </w:rPr>
              <w:t>3</w:t>
            </w:r>
          </w:p>
          <w:p w14:paraId="3C1B3AAC" w14:textId="77777777" w:rsidR="001C6973" w:rsidRPr="001C6973" w:rsidRDefault="001C6973" w:rsidP="00770981">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Не</w:t>
            </w:r>
          </w:p>
        </w:tc>
      </w:tr>
      <w:tr w:rsidR="00D94DB1" w:rsidRPr="001C6973" w14:paraId="3864DC7E"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46B4B912"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Професионалната област, в която попада предметът на възлаганата поръчка (според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1E2CD144" w14:textId="07AE4AB4" w:rsidR="001C6973" w:rsidRPr="001C6973" w:rsidRDefault="002D293A" w:rsidP="009D1715">
            <w:pPr>
              <w:tabs>
                <w:tab w:val="left" w:pos="583"/>
                <w:tab w:val="right" w:pos="9360"/>
              </w:tabs>
              <w:spacing w:before="60" w:after="60" w:line="240" w:lineRule="auto"/>
              <w:ind w:left="45" w:firstLine="0"/>
              <w:jc w:val="left"/>
              <w:rPr>
                <w:rFonts w:ascii="Times New Roman" w:hAnsi="Times New Roman"/>
                <w:szCs w:val="24"/>
                <w:lang w:eastAsia="bg-BG"/>
              </w:rPr>
            </w:pPr>
            <w:r w:rsidRPr="002D293A">
              <w:rPr>
                <w:rFonts w:ascii="Times New Roman" w:hAnsi="Times New Roman"/>
                <w:szCs w:val="24"/>
                <w:lang w:eastAsia="bg-BG"/>
              </w:rPr>
              <w:t xml:space="preserve">6. </w:t>
            </w:r>
            <w:r>
              <w:rPr>
                <w:rFonts w:ascii="Times New Roman" w:hAnsi="Times New Roman"/>
                <w:szCs w:val="24"/>
                <w:lang w:eastAsia="bg-BG"/>
              </w:rPr>
              <w:t>ВиК инж</w:t>
            </w:r>
            <w:r w:rsidR="009D1715">
              <w:rPr>
                <w:rFonts w:ascii="Times New Roman" w:hAnsi="Times New Roman"/>
                <w:szCs w:val="24"/>
                <w:lang w:eastAsia="bg-BG"/>
              </w:rPr>
              <w:t>е</w:t>
            </w:r>
            <w:r>
              <w:rPr>
                <w:rFonts w:ascii="Times New Roman" w:hAnsi="Times New Roman"/>
                <w:szCs w:val="24"/>
                <w:lang w:eastAsia="bg-BG"/>
              </w:rPr>
              <w:t>нерство</w:t>
            </w:r>
          </w:p>
        </w:tc>
      </w:tr>
      <w:tr w:rsidR="00D94DB1" w:rsidRPr="001C6973" w14:paraId="367E901E"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106BAFDC"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73" w:type="dxa"/>
            <w:tcBorders>
              <w:top w:val="single" w:sz="2" w:space="0" w:color="auto"/>
              <w:left w:val="single" w:sz="2" w:space="0" w:color="auto"/>
              <w:bottom w:val="single" w:sz="2" w:space="0" w:color="auto"/>
              <w:right w:val="single" w:sz="12" w:space="0" w:color="auto"/>
            </w:tcBorders>
            <w:vAlign w:val="center"/>
          </w:tcPr>
          <w:p w14:paraId="0E46357C" w14:textId="77777777" w:rsidR="001C6973" w:rsidRPr="001C6973" w:rsidRDefault="003935D9" w:rsidP="00770981">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24 месеца</w:t>
            </w:r>
          </w:p>
        </w:tc>
      </w:tr>
      <w:tr w:rsidR="00D94DB1" w:rsidRPr="001C6973" w14:paraId="05C42D11"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306B9FF9"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73" w:type="dxa"/>
            <w:tcBorders>
              <w:top w:val="single" w:sz="2" w:space="0" w:color="auto"/>
              <w:left w:val="single" w:sz="2" w:space="0" w:color="auto"/>
              <w:bottom w:val="single" w:sz="2" w:space="0" w:color="auto"/>
              <w:right w:val="single" w:sz="12" w:space="0" w:color="auto"/>
            </w:tcBorders>
            <w:vAlign w:val="center"/>
          </w:tcPr>
          <w:p w14:paraId="2BE4DB77" w14:textId="77777777" w:rsidR="001C6973" w:rsidRPr="001C6973" w:rsidRDefault="0074599D" w:rsidP="00770981">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91 216,20</w:t>
            </w:r>
            <w:r w:rsidR="001425EE">
              <w:rPr>
                <w:rFonts w:ascii="Times New Roman" w:hAnsi="Times New Roman"/>
                <w:szCs w:val="24"/>
                <w:lang w:eastAsia="bg-BG"/>
              </w:rPr>
              <w:t xml:space="preserve"> лв.</w:t>
            </w:r>
          </w:p>
        </w:tc>
      </w:tr>
      <w:tr w:rsidR="00D94DB1" w:rsidRPr="001C6973" w14:paraId="612D4FE8"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52018791"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1FBAADD4" w14:textId="77777777" w:rsidR="001C6973" w:rsidRPr="001C6973" w:rsidRDefault="001C6973" w:rsidP="00770981">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57AB63EC" w14:textId="77777777" w:rsidR="001C6973" w:rsidRPr="001C6973" w:rsidRDefault="0074599D" w:rsidP="00770981">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14:paraId="652540A1" w14:textId="77777777" w:rsidR="001C6973" w:rsidRPr="001C6973" w:rsidRDefault="001C6973" w:rsidP="00770981">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733E9D2" w14:textId="77777777" w:rsidTr="00204EF2">
        <w:trPr>
          <w:trHeight w:val="20"/>
        </w:trPr>
        <w:tc>
          <w:tcPr>
            <w:tcW w:w="3482" w:type="dxa"/>
            <w:tcBorders>
              <w:top w:val="single" w:sz="2" w:space="0" w:color="auto"/>
              <w:left w:val="single" w:sz="12" w:space="0" w:color="auto"/>
              <w:bottom w:val="single" w:sz="12" w:space="0" w:color="auto"/>
              <w:right w:val="single" w:sz="2" w:space="0" w:color="auto"/>
            </w:tcBorders>
            <w:vAlign w:val="center"/>
            <w:hideMark/>
          </w:tcPr>
          <w:p w14:paraId="225F54F2" w14:textId="77777777" w:rsidR="001C6973" w:rsidRPr="001C6973" w:rsidRDefault="001C6973" w:rsidP="00770981">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73" w:type="dxa"/>
            <w:tcBorders>
              <w:top w:val="single" w:sz="2" w:space="0" w:color="auto"/>
              <w:left w:val="single" w:sz="2" w:space="0" w:color="auto"/>
              <w:bottom w:val="single" w:sz="12" w:space="0" w:color="auto"/>
              <w:right w:val="single" w:sz="12" w:space="0" w:color="auto"/>
            </w:tcBorders>
            <w:vAlign w:val="center"/>
            <w:hideMark/>
          </w:tcPr>
          <w:p w14:paraId="3E4A7D57" w14:textId="77777777" w:rsidR="001C6973" w:rsidRPr="001C6973" w:rsidRDefault="001C6973" w:rsidP="00770981">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Най-ниска цена</w:t>
            </w:r>
          </w:p>
          <w:p w14:paraId="4AB739A3" w14:textId="77777777" w:rsidR="001C6973" w:rsidRPr="001C6973" w:rsidRDefault="001C6973" w:rsidP="00770981">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722B038B" w14:textId="77777777" w:rsidR="001C6973" w:rsidRPr="001C6973" w:rsidRDefault="002D293A" w:rsidP="00770981">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14:paraId="6CF98CAD" w14:textId="77777777" w:rsidTr="00204EF2">
        <w:trPr>
          <w:trHeight w:val="20"/>
        </w:trPr>
        <w:tc>
          <w:tcPr>
            <w:tcW w:w="9355" w:type="dxa"/>
            <w:gridSpan w:val="2"/>
            <w:tcBorders>
              <w:top w:val="single" w:sz="2" w:space="0" w:color="auto"/>
              <w:left w:val="single" w:sz="12" w:space="0" w:color="auto"/>
              <w:bottom w:val="single" w:sz="12" w:space="0" w:color="auto"/>
              <w:right w:val="single" w:sz="12" w:space="0" w:color="auto"/>
            </w:tcBorders>
            <w:vAlign w:val="center"/>
          </w:tcPr>
          <w:p w14:paraId="1D9E2716" w14:textId="77777777" w:rsidR="001C6973" w:rsidRPr="001C6973" w:rsidRDefault="001C6973" w:rsidP="00770981">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574E2BF7" w14:textId="77777777" w:rsidR="001C6973" w:rsidRPr="001C6973" w:rsidRDefault="001C6973" w:rsidP="00770981">
            <w:pPr>
              <w:spacing w:before="60" w:after="60" w:line="240" w:lineRule="auto"/>
              <w:ind w:firstLine="567"/>
              <w:jc w:val="left"/>
              <w:rPr>
                <w:rFonts w:ascii="Times New Roman" w:hAnsi="Times New Roman"/>
                <w:sz w:val="26"/>
                <w:szCs w:val="26"/>
                <w:lang w:eastAsia="bg-BG"/>
              </w:rPr>
            </w:pPr>
          </w:p>
        </w:tc>
      </w:tr>
    </w:tbl>
    <w:p w14:paraId="3C96C2E8" w14:textId="77777777" w:rsidR="001C6973" w:rsidRPr="001C6973" w:rsidRDefault="001C6973" w:rsidP="00770981">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7EC01412" w14:textId="77777777" w:rsidR="00B04866" w:rsidRPr="00B04866" w:rsidRDefault="00B04866" w:rsidP="00770981">
      <w:pPr>
        <w:spacing w:after="0" w:line="240" w:lineRule="auto"/>
        <w:ind w:firstLine="0"/>
        <w:jc w:val="left"/>
        <w:rPr>
          <w:rFonts w:ascii="Times New Roman" w:hAnsi="Times New Roman"/>
          <w:szCs w:val="24"/>
          <w:lang w:eastAsia="bg-BG"/>
        </w:rPr>
      </w:pPr>
    </w:p>
    <w:p w14:paraId="29CEF5EB" w14:textId="77777777" w:rsidR="00B04866" w:rsidRPr="00B04866" w:rsidRDefault="00B04866" w:rsidP="0077098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03BD0A1F" w14:textId="77777777" w:rsidR="00B04866" w:rsidRPr="00B04866" w:rsidRDefault="00B04866" w:rsidP="00770981">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063A0143" w14:textId="77777777" w:rsidR="00B04866" w:rsidRPr="00B04866" w:rsidRDefault="00B04866" w:rsidP="00770981">
      <w:pPr>
        <w:spacing w:after="0" w:line="240" w:lineRule="auto"/>
        <w:ind w:firstLine="0"/>
        <w:jc w:val="left"/>
        <w:rPr>
          <w:rFonts w:ascii="Times New Roman" w:hAnsi="Times New Roman"/>
          <w:szCs w:val="24"/>
        </w:rPr>
      </w:pPr>
    </w:p>
    <w:tbl>
      <w:tblPr>
        <w:tblW w:w="9292"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309"/>
        <w:gridCol w:w="1983"/>
      </w:tblGrid>
      <w:tr w:rsidR="00B04866" w:rsidRPr="00B04866" w14:paraId="17746225" w14:textId="77777777" w:rsidTr="00204EF2">
        <w:trPr>
          <w:trHeight w:val="20"/>
        </w:trPr>
        <w:tc>
          <w:tcPr>
            <w:tcW w:w="9292" w:type="dxa"/>
            <w:gridSpan w:val="2"/>
            <w:tcBorders>
              <w:top w:val="single" w:sz="12" w:space="0" w:color="auto"/>
              <w:left w:val="single" w:sz="12" w:space="0" w:color="auto"/>
              <w:bottom w:val="single" w:sz="2" w:space="0" w:color="auto"/>
              <w:right w:val="single" w:sz="12" w:space="0" w:color="auto"/>
            </w:tcBorders>
            <w:vAlign w:val="center"/>
            <w:hideMark/>
          </w:tcPr>
          <w:p w14:paraId="7A4F0B14" w14:textId="77777777" w:rsidR="000D1E4D" w:rsidRDefault="000D1E4D" w:rsidP="00770981">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4568F0C2" w14:textId="54A39121" w:rsidR="000D1E4D" w:rsidRDefault="008D23A7" w:rsidP="00770981">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sidRPr="001425EE">
              <w:rPr>
                <w:rFonts w:ascii="Times New Roman" w:hAnsi="Times New Roman"/>
                <w:szCs w:val="24"/>
                <w:lang w:eastAsia="bg-BG"/>
              </w:rPr>
              <w:t>Р</w:t>
            </w:r>
            <w:r w:rsidR="000D1E4D" w:rsidRPr="001425EE">
              <w:rPr>
                <w:rFonts w:ascii="Times New Roman" w:hAnsi="Times New Roman"/>
                <w:szCs w:val="24"/>
                <w:lang w:eastAsia="bg-BG"/>
              </w:rPr>
              <w:t>ешение за откриване на процедурата</w:t>
            </w:r>
            <w:r w:rsidR="00E071CE">
              <w:rPr>
                <w:rFonts w:ascii="Times New Roman" w:hAnsi="Times New Roman"/>
                <w:szCs w:val="24"/>
                <w:lang w:eastAsia="bg-BG"/>
              </w:rPr>
              <w:t>.</w:t>
            </w:r>
          </w:p>
          <w:p w14:paraId="65E90AEE" w14:textId="22038591" w:rsidR="000D1E4D" w:rsidRPr="001425EE" w:rsidRDefault="008D23A7" w:rsidP="00770981">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sidRPr="001425EE">
              <w:rPr>
                <w:rFonts w:ascii="Times New Roman" w:hAnsi="Times New Roman"/>
                <w:szCs w:val="24"/>
                <w:lang w:eastAsia="bg-BG"/>
              </w:rPr>
              <w:t>О</w:t>
            </w:r>
            <w:r w:rsidR="000D1E4D" w:rsidRPr="001425EE">
              <w:rPr>
                <w:rFonts w:ascii="Times New Roman" w:hAnsi="Times New Roman"/>
                <w:szCs w:val="24"/>
                <w:lang w:eastAsia="bg-BG"/>
              </w:rPr>
              <w:t>бявление, с което се оповестява откриването на процедурата</w:t>
            </w:r>
            <w:r w:rsidR="00E071CE">
              <w:rPr>
                <w:rFonts w:ascii="Times New Roman" w:hAnsi="Times New Roman"/>
                <w:szCs w:val="24"/>
                <w:lang w:eastAsia="bg-BG"/>
              </w:rPr>
              <w:t>.</w:t>
            </w:r>
            <w:r w:rsidR="001425EE">
              <w:rPr>
                <w:rFonts w:ascii="Times New Roman" w:hAnsi="Times New Roman"/>
                <w:szCs w:val="24"/>
                <w:lang w:eastAsia="bg-BG"/>
              </w:rPr>
              <w:t xml:space="preserve"> </w:t>
            </w:r>
          </w:p>
          <w:p w14:paraId="38553F1A" w14:textId="7C27D8B3" w:rsidR="000D1E4D" w:rsidRDefault="008D23A7" w:rsidP="00770981">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Т</w:t>
            </w:r>
            <w:r w:rsidR="000D1E4D">
              <w:rPr>
                <w:rFonts w:ascii="Times New Roman" w:hAnsi="Times New Roman"/>
                <w:szCs w:val="24"/>
                <w:lang w:eastAsia="bg-BG"/>
              </w:rPr>
              <w:t>ехническа спецификация</w:t>
            </w:r>
            <w:r w:rsidR="00E071CE">
              <w:rPr>
                <w:rFonts w:ascii="Times New Roman" w:hAnsi="Times New Roman"/>
                <w:szCs w:val="24"/>
                <w:lang w:eastAsia="bg-BG"/>
              </w:rPr>
              <w:t>.</w:t>
            </w:r>
            <w:r w:rsidR="001425EE">
              <w:rPr>
                <w:rFonts w:ascii="Times New Roman" w:hAnsi="Times New Roman"/>
                <w:szCs w:val="24"/>
                <w:lang w:eastAsia="bg-BG"/>
              </w:rPr>
              <w:t xml:space="preserve"> </w:t>
            </w:r>
          </w:p>
          <w:p w14:paraId="39629ED7" w14:textId="1FB140BE" w:rsidR="00B04866" w:rsidRPr="00F10CD5" w:rsidRDefault="008D23A7" w:rsidP="00770981">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sidRPr="00F10CD5">
              <w:rPr>
                <w:rFonts w:ascii="Times New Roman" w:hAnsi="Times New Roman"/>
                <w:szCs w:val="24"/>
                <w:lang w:eastAsia="bg-BG"/>
              </w:rPr>
              <w:t>М</w:t>
            </w:r>
            <w:r w:rsidR="000D1E4D" w:rsidRPr="00F10CD5">
              <w:rPr>
                <w:rFonts w:ascii="Times New Roman" w:hAnsi="Times New Roman"/>
                <w:szCs w:val="24"/>
                <w:lang w:eastAsia="bg-BG"/>
              </w:rPr>
              <w:t>етодика за оценка</w:t>
            </w:r>
            <w:r w:rsidR="00E071CE">
              <w:rPr>
                <w:rFonts w:ascii="Times New Roman" w:hAnsi="Times New Roman"/>
                <w:szCs w:val="24"/>
                <w:lang w:eastAsia="bg-BG"/>
              </w:rPr>
              <w:t>.</w:t>
            </w:r>
            <w:r w:rsidR="001425EE">
              <w:rPr>
                <w:rFonts w:ascii="Times New Roman" w:hAnsi="Times New Roman"/>
                <w:szCs w:val="24"/>
                <w:lang w:eastAsia="bg-BG"/>
              </w:rPr>
              <w:t xml:space="preserve"> </w:t>
            </w:r>
          </w:p>
        </w:tc>
      </w:tr>
      <w:tr w:rsidR="00D94DB1" w:rsidRPr="00B04866" w14:paraId="3DDF7852" w14:textId="77777777" w:rsidTr="00204EF2">
        <w:trPr>
          <w:trHeight w:val="533"/>
        </w:trPr>
        <w:tc>
          <w:tcPr>
            <w:tcW w:w="7309" w:type="dxa"/>
            <w:tcBorders>
              <w:top w:val="single" w:sz="2" w:space="0" w:color="auto"/>
              <w:left w:val="single" w:sz="12" w:space="0" w:color="auto"/>
              <w:bottom w:val="single" w:sz="2" w:space="0" w:color="auto"/>
              <w:right w:val="single" w:sz="2" w:space="0" w:color="auto"/>
            </w:tcBorders>
            <w:vAlign w:val="center"/>
            <w:hideMark/>
          </w:tcPr>
          <w:p w14:paraId="66E5D638" w14:textId="77777777" w:rsidR="00B04866" w:rsidRPr="00B04866" w:rsidRDefault="00B04866" w:rsidP="00770981">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1A5805B4" w14:textId="77777777" w:rsidR="00B04866" w:rsidRPr="00B04866" w:rsidRDefault="00732965" w:rsidP="00770981">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57CAF1EE" w14:textId="77777777" w:rsidTr="008A740C">
        <w:trPr>
          <w:trHeight w:val="20"/>
        </w:trPr>
        <w:tc>
          <w:tcPr>
            <w:tcW w:w="730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4117C8E4" w14:textId="77777777" w:rsidR="00B04866" w:rsidRPr="00B04866" w:rsidRDefault="00B04866" w:rsidP="00770981">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4882AA45" w14:textId="77777777" w:rsidR="00B04866" w:rsidRPr="00B04866" w:rsidRDefault="001B50FD" w:rsidP="00770981">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D94DB1" w:rsidRPr="00B04866" w14:paraId="05412780" w14:textId="77777777" w:rsidTr="00204EF2">
        <w:trPr>
          <w:trHeight w:val="533"/>
        </w:trPr>
        <w:tc>
          <w:tcPr>
            <w:tcW w:w="7309" w:type="dxa"/>
            <w:tcBorders>
              <w:top w:val="single" w:sz="2" w:space="0" w:color="auto"/>
              <w:left w:val="single" w:sz="12" w:space="0" w:color="auto"/>
              <w:bottom w:val="single" w:sz="2" w:space="0" w:color="auto"/>
              <w:right w:val="single" w:sz="2" w:space="0" w:color="auto"/>
            </w:tcBorders>
            <w:vAlign w:val="center"/>
            <w:hideMark/>
          </w:tcPr>
          <w:p w14:paraId="1FB021A3" w14:textId="77777777" w:rsidR="00B04866" w:rsidRPr="00B04866" w:rsidRDefault="00B04866" w:rsidP="00770981">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 експерт по чл. 229а ЗОП.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43072C74" w14:textId="77777777" w:rsidR="00B04866" w:rsidRPr="00B04866" w:rsidRDefault="001B50FD" w:rsidP="00770981">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282E95">
              <w:rPr>
                <w:rFonts w:ascii="Times New Roman" w:hAnsi="Times New Roman"/>
                <w:szCs w:val="24"/>
                <w:lang w:eastAsia="bg-BG"/>
              </w:rPr>
            </w:r>
            <w:r w:rsidR="00282E95">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B04866" w:rsidRPr="00B04866" w14:paraId="767B7EE4" w14:textId="77777777" w:rsidTr="00204EF2">
        <w:trPr>
          <w:trHeight w:val="20"/>
        </w:trPr>
        <w:tc>
          <w:tcPr>
            <w:tcW w:w="9292" w:type="dxa"/>
            <w:gridSpan w:val="2"/>
            <w:tcBorders>
              <w:top w:val="single" w:sz="2" w:space="0" w:color="auto"/>
              <w:left w:val="single" w:sz="12" w:space="0" w:color="auto"/>
              <w:bottom w:val="single" w:sz="12" w:space="0" w:color="auto"/>
              <w:right w:val="single" w:sz="12" w:space="0" w:color="auto"/>
            </w:tcBorders>
            <w:vAlign w:val="center"/>
          </w:tcPr>
          <w:p w14:paraId="2F95064F" w14:textId="77777777" w:rsidR="00B04866" w:rsidRPr="00B04866" w:rsidRDefault="00B04866" w:rsidP="00770981">
            <w:pPr>
              <w:spacing w:after="0" w:line="240" w:lineRule="auto"/>
              <w:ind w:firstLine="0"/>
              <w:rPr>
                <w:rFonts w:ascii="Times New Roman" w:hAnsi="Times New Roman"/>
                <w:i/>
                <w:szCs w:val="24"/>
                <w:lang w:eastAsia="bg-BG"/>
              </w:rPr>
            </w:pPr>
            <w:r w:rsidRPr="00B04866">
              <w:rPr>
                <w:rFonts w:ascii="Times New Roman" w:hAnsi="Times New Roman"/>
                <w:i/>
                <w:szCs w:val="24"/>
                <w:lang w:eastAsia="bg-BG"/>
              </w:rPr>
              <w:lastRenderedPageBreak/>
              <w:t>Коментари и други бележки:</w:t>
            </w:r>
          </w:p>
          <w:p w14:paraId="031FD002" w14:textId="47A2DA0F" w:rsidR="00B04866" w:rsidRPr="00C72E2B" w:rsidRDefault="007E769B" w:rsidP="00770981">
            <w:pPr>
              <w:tabs>
                <w:tab w:val="left" w:pos="583"/>
                <w:tab w:val="right" w:pos="9360"/>
              </w:tabs>
              <w:spacing w:before="60" w:after="60" w:line="240" w:lineRule="auto"/>
              <w:ind w:firstLine="567"/>
              <w:rPr>
                <w:rFonts w:ascii="Times New Roman" w:hAnsi="Times New Roman"/>
                <w:sz w:val="26"/>
                <w:szCs w:val="26"/>
                <w:lang w:eastAsia="bg-BG"/>
              </w:rPr>
            </w:pPr>
            <w:r w:rsidRPr="00C72E2B">
              <w:rPr>
                <w:rFonts w:ascii="Times New Roman" w:hAnsi="Times New Roman"/>
                <w:sz w:val="26"/>
                <w:szCs w:val="26"/>
                <w:lang w:eastAsia="bg-BG"/>
              </w:rPr>
              <w:t xml:space="preserve">Проверката на проектите на техническата спецификация и методиката за оценка на първия етап на контрол е извършена от външен експерт, избран по реда на </w:t>
            </w:r>
            <w:r w:rsidR="00E3240D" w:rsidRPr="00C72E2B">
              <w:rPr>
                <w:rFonts w:ascii="Times New Roman" w:hAnsi="Times New Roman"/>
                <w:sz w:val="26"/>
                <w:szCs w:val="26"/>
                <w:lang w:eastAsia="bg-BG"/>
              </w:rPr>
              <w:t xml:space="preserve">Наредбата </w:t>
            </w:r>
            <w:r w:rsidRPr="00C72E2B">
              <w:rPr>
                <w:rFonts w:ascii="Times New Roman" w:hAnsi="Times New Roman"/>
                <w:sz w:val="26"/>
                <w:szCs w:val="26"/>
                <w:lang w:eastAsia="bg-BG"/>
              </w:rPr>
              <w:t>по чл. 229а, ал. 3 ЗОП (вж. чл. 122а, ал. 1 ППЗОП). На втория етап на контрол проверката се извършва от експерти на АОП и обхваща съответствието на документите с изискванията на ЗОП.</w:t>
            </w:r>
          </w:p>
        </w:tc>
      </w:tr>
    </w:tbl>
    <w:p w14:paraId="7ABFEA70" w14:textId="77777777" w:rsidR="00B04866" w:rsidRPr="00B04866" w:rsidRDefault="00B04866" w:rsidP="00770981">
      <w:pPr>
        <w:tabs>
          <w:tab w:val="left" w:pos="1440"/>
        </w:tabs>
        <w:spacing w:after="0" w:line="240" w:lineRule="auto"/>
        <w:ind w:firstLine="0"/>
        <w:rPr>
          <w:rFonts w:ascii="Times New Roman" w:hAnsi="Times New Roman"/>
          <w:szCs w:val="24"/>
          <w:lang w:eastAsia="bg-BG"/>
        </w:rPr>
      </w:pPr>
    </w:p>
    <w:p w14:paraId="0FBBD17A" w14:textId="77777777" w:rsidR="00193C7A" w:rsidRPr="00C72E2B" w:rsidRDefault="00193C7A" w:rsidP="00770981">
      <w:pPr>
        <w:tabs>
          <w:tab w:val="right" w:pos="9360"/>
        </w:tabs>
        <w:spacing w:after="0" w:line="240" w:lineRule="auto"/>
        <w:ind w:firstLine="0"/>
        <w:jc w:val="center"/>
        <w:rPr>
          <w:rFonts w:ascii="Times New Roman" w:hAnsi="Times New Roman"/>
          <w:szCs w:val="24"/>
          <w:lang w:eastAsia="bg-BG"/>
        </w:rPr>
      </w:pPr>
    </w:p>
    <w:p w14:paraId="335FE234" w14:textId="77777777" w:rsidR="00193C7A" w:rsidRPr="00193C7A" w:rsidRDefault="00193C7A" w:rsidP="0077098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0075B72B" w14:textId="77777777" w:rsidR="00193C7A" w:rsidRPr="00193C7A" w:rsidRDefault="00193C7A" w:rsidP="00770981">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193C7A">
        <w:rPr>
          <w:rFonts w:ascii="Times New Roman" w:hAnsi="Times New Roman"/>
          <w:b/>
          <w:bCs/>
          <w:sz w:val="26"/>
          <w:szCs w:val="26"/>
        </w:rPr>
        <w:t>Резултати</w:t>
      </w:r>
      <w:r w:rsidRPr="00C72E2B">
        <w:rPr>
          <w:rFonts w:ascii="Times New Roman" w:hAnsi="Times New Roman"/>
          <w:b/>
          <w:bCs/>
          <w:sz w:val="26"/>
          <w:szCs w:val="26"/>
        </w:rPr>
        <w:t xml:space="preserve"> </w:t>
      </w:r>
      <w:r w:rsidRPr="00193C7A">
        <w:rPr>
          <w:rFonts w:ascii="Times New Roman" w:hAnsi="Times New Roman"/>
          <w:b/>
          <w:bCs/>
          <w:sz w:val="26"/>
          <w:szCs w:val="26"/>
        </w:rPr>
        <w:t>от контрола</w:t>
      </w:r>
    </w:p>
    <w:p w14:paraId="3F008AAB" w14:textId="77777777" w:rsidR="00193C7A" w:rsidRPr="00193C7A" w:rsidRDefault="00193C7A" w:rsidP="00770981">
      <w:pPr>
        <w:tabs>
          <w:tab w:val="left" w:pos="1440"/>
        </w:tabs>
        <w:spacing w:after="0" w:line="240" w:lineRule="auto"/>
        <w:ind w:firstLine="0"/>
        <w:rPr>
          <w:rFonts w:ascii="Times New Roman" w:hAnsi="Times New Roman"/>
          <w:szCs w:val="24"/>
          <w:lang w:eastAsia="bg-BG"/>
        </w:rPr>
      </w:pPr>
    </w:p>
    <w:p w14:paraId="6BADF7E8" w14:textId="29475431" w:rsidR="00193C7A" w:rsidRPr="00193C7A" w:rsidRDefault="008D23A7" w:rsidP="009D1715">
      <w:pPr>
        <w:tabs>
          <w:tab w:val="left" w:pos="1440"/>
        </w:tabs>
        <w:spacing w:after="0" w:line="240" w:lineRule="auto"/>
        <w:ind w:firstLine="0"/>
        <w:rPr>
          <w:rFonts w:ascii="Times New Roman" w:hAnsi="Times New Roman"/>
          <w:szCs w:val="24"/>
          <w:lang w:eastAsia="bg-BG"/>
        </w:rPr>
      </w:pPr>
      <w:r w:rsidRPr="00F11DC8">
        <w:rPr>
          <w:rFonts w:ascii="Times New Roman" w:hAnsi="Times New Roman"/>
          <w:b/>
          <w:szCs w:val="24"/>
          <w:lang w:eastAsia="bg-BG"/>
        </w:rPr>
        <w:t>О</w:t>
      </w:r>
      <w:r w:rsidR="00193C7A" w:rsidRPr="00F11DC8">
        <w:rPr>
          <w:rFonts w:ascii="Times New Roman" w:hAnsi="Times New Roman"/>
          <w:b/>
          <w:szCs w:val="24"/>
          <w:lang w:eastAsia="bg-BG"/>
        </w:rPr>
        <w:t>бявление за обществена поръчка</w:t>
      </w:r>
    </w:p>
    <w:p w14:paraId="16F34DEE" w14:textId="77777777" w:rsidR="00193C7A" w:rsidRPr="00193C7A" w:rsidRDefault="00193C7A" w:rsidP="00770981">
      <w:pPr>
        <w:spacing w:after="0" w:line="240" w:lineRule="auto"/>
        <w:ind w:firstLine="0"/>
        <w:jc w:val="left"/>
        <w:rPr>
          <w:rFonts w:ascii="Times New Roman" w:hAnsi="Times New Roman"/>
          <w:szCs w:val="24"/>
          <w:lang w:eastAsia="bg-BG"/>
        </w:rPr>
      </w:pPr>
    </w:p>
    <w:tbl>
      <w:tblPr>
        <w:tblW w:w="926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65"/>
      </w:tblGrid>
      <w:tr w:rsidR="00193C7A" w:rsidRPr="00193C7A" w14:paraId="43A46D83" w14:textId="77777777" w:rsidTr="009D6244">
        <w:trPr>
          <w:trHeight w:val="20"/>
        </w:trPr>
        <w:tc>
          <w:tcPr>
            <w:tcW w:w="9265" w:type="dxa"/>
            <w:shd w:val="clear" w:color="auto" w:fill="E0E0E0"/>
            <w:vAlign w:val="center"/>
          </w:tcPr>
          <w:p w14:paraId="0F0165A0" w14:textId="4898FF7A" w:rsidR="00193C7A" w:rsidRPr="00193C7A" w:rsidRDefault="00193C7A" w:rsidP="00770981">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193C7A">
              <w:rPr>
                <w:rFonts w:ascii="Times New Roman" w:hAnsi="Times New Roman"/>
                <w:b/>
                <w:bCs/>
                <w:szCs w:val="24"/>
                <w:lang w:eastAsia="bg-BG"/>
              </w:rPr>
              <w:t xml:space="preserve">Предмет </w:t>
            </w:r>
          </w:p>
        </w:tc>
      </w:tr>
      <w:tr w:rsidR="00193C7A" w:rsidRPr="00193C7A" w14:paraId="322378B0" w14:textId="77777777" w:rsidTr="009D6244">
        <w:trPr>
          <w:trHeight w:val="20"/>
        </w:trPr>
        <w:tc>
          <w:tcPr>
            <w:tcW w:w="9265" w:type="dxa"/>
            <w:tcBorders>
              <w:top w:val="single" w:sz="2" w:space="0" w:color="auto"/>
            </w:tcBorders>
            <w:vAlign w:val="center"/>
          </w:tcPr>
          <w:p w14:paraId="4A52760B" w14:textId="77777777" w:rsidR="00193C7A" w:rsidRPr="00193C7A" w:rsidRDefault="00193C7A" w:rsidP="00770981">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45C859A2" w14:textId="13DF735C" w:rsidR="00193C7A" w:rsidRPr="00193C7A" w:rsidRDefault="00B67304" w:rsidP="0014041A">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B67304">
              <w:rPr>
                <w:rFonts w:ascii="Times New Roman" w:hAnsi="Times New Roman"/>
                <w:bCs/>
                <w:sz w:val="26"/>
                <w:szCs w:val="26"/>
                <w:lang w:eastAsia="bg-BG"/>
              </w:rPr>
              <w:t xml:space="preserve">В поле II.2.4) </w:t>
            </w:r>
            <w:r>
              <w:rPr>
                <w:rFonts w:ascii="Times New Roman" w:hAnsi="Times New Roman"/>
                <w:bCs/>
                <w:sz w:val="26"/>
                <w:szCs w:val="26"/>
                <w:lang w:eastAsia="bg-BG"/>
              </w:rPr>
              <w:t xml:space="preserve">за всяка обособена позиция </w:t>
            </w:r>
            <w:r w:rsidR="005430C6">
              <w:rPr>
                <w:rFonts w:ascii="Times New Roman" w:hAnsi="Times New Roman"/>
                <w:bCs/>
                <w:sz w:val="26"/>
                <w:szCs w:val="26"/>
                <w:lang w:eastAsia="bg-BG"/>
              </w:rPr>
              <w:t xml:space="preserve">са описани дейностите, включени в предмета на договора, но </w:t>
            </w:r>
            <w:r w:rsidRPr="00B67304">
              <w:rPr>
                <w:rFonts w:ascii="Times New Roman" w:hAnsi="Times New Roman"/>
                <w:bCs/>
                <w:sz w:val="26"/>
                <w:szCs w:val="26"/>
                <w:lang w:eastAsia="bg-BG"/>
              </w:rPr>
              <w:t xml:space="preserve">не са посочени </w:t>
            </w:r>
            <w:r w:rsidR="005430C6">
              <w:rPr>
                <w:rFonts w:ascii="Times New Roman" w:hAnsi="Times New Roman"/>
                <w:bCs/>
                <w:sz w:val="26"/>
                <w:szCs w:val="26"/>
                <w:lang w:eastAsia="bg-BG"/>
              </w:rPr>
              <w:t xml:space="preserve">количествени </w:t>
            </w:r>
            <w:r w:rsidRPr="00B67304">
              <w:rPr>
                <w:rFonts w:ascii="Times New Roman" w:hAnsi="Times New Roman"/>
                <w:bCs/>
                <w:sz w:val="26"/>
                <w:szCs w:val="26"/>
                <w:lang w:eastAsia="bg-BG"/>
              </w:rPr>
              <w:t>данни</w:t>
            </w:r>
            <w:r w:rsidR="005430C6">
              <w:rPr>
                <w:rFonts w:ascii="Times New Roman" w:hAnsi="Times New Roman"/>
                <w:bCs/>
                <w:sz w:val="26"/>
                <w:szCs w:val="26"/>
                <w:lang w:eastAsia="bg-BG"/>
              </w:rPr>
              <w:t>, вкл. за съответния строителен обект</w:t>
            </w:r>
            <w:r w:rsidRPr="00B67304">
              <w:rPr>
                <w:rFonts w:ascii="Times New Roman" w:hAnsi="Times New Roman"/>
                <w:bCs/>
                <w:sz w:val="26"/>
                <w:szCs w:val="26"/>
                <w:lang w:eastAsia="bg-BG"/>
              </w:rPr>
              <w:t xml:space="preserve"> (вж. Приложение № 4, част „Б“, т. 7 ЗОП).</w:t>
            </w:r>
            <w:r w:rsidR="001425EE" w:rsidRPr="001425EE">
              <w:rPr>
                <w:rFonts w:ascii="Times New Roman" w:hAnsi="Times New Roman"/>
                <w:bCs/>
                <w:sz w:val="26"/>
                <w:szCs w:val="26"/>
                <w:lang w:eastAsia="bg-BG"/>
              </w:rPr>
              <w:t xml:space="preserve"> </w:t>
            </w:r>
          </w:p>
        </w:tc>
      </w:tr>
    </w:tbl>
    <w:p w14:paraId="15D9D3CD" w14:textId="77777777" w:rsidR="00193C7A" w:rsidRPr="00193C7A" w:rsidRDefault="00193C7A" w:rsidP="00770981">
      <w:pPr>
        <w:keepNext/>
        <w:keepLines/>
        <w:spacing w:after="0" w:line="240" w:lineRule="auto"/>
        <w:ind w:firstLine="0"/>
        <w:jc w:val="left"/>
        <w:outlineLvl w:val="4"/>
        <w:rPr>
          <w:rFonts w:ascii="Times New Roman" w:hAnsi="Times New Roman"/>
          <w:szCs w:val="24"/>
          <w:lang w:eastAsia="bg-BG"/>
        </w:rPr>
      </w:pPr>
    </w:p>
    <w:tbl>
      <w:tblPr>
        <w:tblW w:w="929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99"/>
      </w:tblGrid>
      <w:tr w:rsidR="009D6244" w:rsidRPr="00193C7A" w14:paraId="06AC9DA1" w14:textId="77777777" w:rsidTr="00EB4DBC">
        <w:trPr>
          <w:trHeight w:val="20"/>
        </w:trPr>
        <w:tc>
          <w:tcPr>
            <w:tcW w:w="9299" w:type="dxa"/>
            <w:tcBorders>
              <w:bottom w:val="single" w:sz="12" w:space="0" w:color="auto"/>
            </w:tcBorders>
            <w:shd w:val="clear" w:color="auto" w:fill="D9D9D9"/>
            <w:vAlign w:val="center"/>
          </w:tcPr>
          <w:p w14:paraId="1E037BAF" w14:textId="17ADA12C" w:rsidR="009D6244" w:rsidRPr="00193C7A" w:rsidRDefault="009D6244" w:rsidP="00770981">
            <w:pPr>
              <w:tabs>
                <w:tab w:val="left" w:pos="359"/>
                <w:tab w:val="left" w:pos="5983"/>
                <w:tab w:val="left" w:pos="7123"/>
                <w:tab w:val="right" w:pos="9360"/>
              </w:tabs>
              <w:spacing w:before="60" w:after="60" w:line="240" w:lineRule="auto"/>
              <w:ind w:firstLine="0"/>
              <w:jc w:val="left"/>
              <w:rPr>
                <w:rFonts w:ascii="Times New Roman" w:hAnsi="Times New Roman"/>
                <w:sz w:val="18"/>
                <w:szCs w:val="18"/>
                <w:lang w:eastAsia="bg-BG"/>
              </w:rPr>
            </w:pPr>
            <w:r w:rsidRPr="00193C7A">
              <w:rPr>
                <w:rFonts w:ascii="Times New Roman" w:hAnsi="Times New Roman"/>
                <w:b/>
                <w:szCs w:val="24"/>
                <w:lang w:eastAsia="bg-BG"/>
              </w:rPr>
              <w:t>Годност (правоспособност) за упражняване на професионална дейност</w:t>
            </w:r>
            <w:r w:rsidRPr="00193C7A">
              <w:rPr>
                <w:rFonts w:ascii="Times New Roman" w:hAnsi="Times New Roman"/>
                <w:b/>
                <w:bCs/>
                <w:szCs w:val="24"/>
                <w:lang w:eastAsia="bg-BG"/>
              </w:rPr>
              <w:t xml:space="preserve"> </w:t>
            </w:r>
          </w:p>
        </w:tc>
      </w:tr>
      <w:tr w:rsidR="00193C7A" w:rsidRPr="00193C7A" w14:paraId="18957E0E" w14:textId="77777777" w:rsidTr="00204EF2">
        <w:trPr>
          <w:trHeight w:val="20"/>
        </w:trPr>
        <w:tc>
          <w:tcPr>
            <w:tcW w:w="9299" w:type="dxa"/>
            <w:tcBorders>
              <w:top w:val="single" w:sz="4" w:space="0" w:color="auto"/>
            </w:tcBorders>
            <w:vAlign w:val="center"/>
          </w:tcPr>
          <w:p w14:paraId="629CE383" w14:textId="77777777" w:rsidR="00193C7A" w:rsidRPr="00193C7A" w:rsidRDefault="00193C7A" w:rsidP="00770981">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6A60A48C" w14:textId="49B3A6A5" w:rsidR="00193C7A" w:rsidRPr="00193C7A" w:rsidRDefault="00C17C60" w:rsidP="00142706">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44521E">
              <w:rPr>
                <w:rFonts w:ascii="Times New Roman" w:hAnsi="Times New Roman"/>
                <w:bCs/>
                <w:sz w:val="26"/>
                <w:szCs w:val="26"/>
                <w:lang w:eastAsia="bg-BG"/>
              </w:rPr>
              <w:t>В поле VІ.3)</w:t>
            </w:r>
            <w:r w:rsidRPr="0014041A">
              <w:rPr>
                <w:rFonts w:ascii="Times New Roman" w:hAnsi="Times New Roman"/>
                <w:bCs/>
                <w:sz w:val="26"/>
                <w:szCs w:val="26"/>
                <w:lang w:eastAsia="bg-BG"/>
              </w:rPr>
              <w:t>, сред основанията за отстраняване от участие в процедурата са отбелязани и тези по чл.</w:t>
            </w:r>
            <w:r w:rsidRPr="00C17C60">
              <w:rPr>
                <w:rFonts w:ascii="Times New Roman" w:hAnsi="Times New Roman"/>
                <w:bCs/>
                <w:sz w:val="26"/>
                <w:szCs w:val="26"/>
                <w:lang w:val="ru-RU" w:eastAsia="bg-BG"/>
              </w:rPr>
              <w:t xml:space="preserve"> 55, ал. 1 ЗОП. </w:t>
            </w:r>
            <w:r w:rsidRPr="00C17C60">
              <w:rPr>
                <w:rFonts w:ascii="Times New Roman" w:hAnsi="Times New Roman"/>
                <w:bCs/>
                <w:sz w:val="26"/>
                <w:szCs w:val="26"/>
                <w:lang w:eastAsia="bg-BG"/>
              </w:rPr>
              <w:t xml:space="preserve">Възложителят </w:t>
            </w:r>
            <w:r w:rsidR="00B67304">
              <w:rPr>
                <w:rFonts w:ascii="Times New Roman" w:hAnsi="Times New Roman"/>
                <w:bCs/>
                <w:sz w:val="26"/>
                <w:szCs w:val="26"/>
                <w:lang w:eastAsia="bg-BG"/>
              </w:rPr>
              <w:t>не е</w:t>
            </w:r>
            <w:r w:rsidRPr="00C17C60">
              <w:rPr>
                <w:rFonts w:ascii="Times New Roman" w:hAnsi="Times New Roman"/>
                <w:bCs/>
                <w:sz w:val="26"/>
                <w:szCs w:val="26"/>
                <w:lang w:eastAsia="bg-BG"/>
              </w:rPr>
              <w:t xml:space="preserve"> посочи</w:t>
            </w:r>
            <w:r w:rsidR="00B67304">
              <w:rPr>
                <w:rFonts w:ascii="Times New Roman" w:hAnsi="Times New Roman"/>
                <w:bCs/>
                <w:sz w:val="26"/>
                <w:szCs w:val="26"/>
                <w:lang w:eastAsia="bg-BG"/>
              </w:rPr>
              <w:t>л</w:t>
            </w:r>
            <w:r w:rsidRPr="00C17C60">
              <w:rPr>
                <w:rFonts w:ascii="Times New Roman" w:hAnsi="Times New Roman"/>
                <w:bCs/>
                <w:sz w:val="26"/>
                <w:szCs w:val="26"/>
                <w:lang w:eastAsia="bg-BG"/>
              </w:rPr>
              <w:t xml:space="preserve"> конкретна професия или дейност, за които се прилага основанието по чл. 55, ал. 1, т. 2 ЗОП. </w:t>
            </w:r>
          </w:p>
        </w:tc>
      </w:tr>
    </w:tbl>
    <w:p w14:paraId="2F60B0A0" w14:textId="77777777" w:rsidR="00193C7A" w:rsidRPr="00193C7A" w:rsidRDefault="00193C7A" w:rsidP="00770981">
      <w:pPr>
        <w:spacing w:after="0" w:line="240" w:lineRule="auto"/>
        <w:ind w:firstLine="0"/>
        <w:jc w:val="left"/>
        <w:rPr>
          <w:rFonts w:ascii="Times New Roman" w:hAnsi="Times New Roman"/>
          <w:szCs w:val="24"/>
          <w:lang w:eastAsia="bg-BG"/>
        </w:rPr>
      </w:pPr>
    </w:p>
    <w:tbl>
      <w:tblPr>
        <w:tblW w:w="929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99"/>
      </w:tblGrid>
      <w:tr w:rsidR="009D6244" w:rsidRPr="00193C7A" w14:paraId="2DC6E840" w14:textId="77777777" w:rsidTr="00B8246A">
        <w:trPr>
          <w:trHeight w:val="20"/>
        </w:trPr>
        <w:tc>
          <w:tcPr>
            <w:tcW w:w="9299" w:type="dxa"/>
            <w:tcBorders>
              <w:top w:val="single" w:sz="12" w:space="0" w:color="auto"/>
              <w:bottom w:val="single" w:sz="12" w:space="0" w:color="auto"/>
            </w:tcBorders>
            <w:shd w:val="clear" w:color="auto" w:fill="D9D9D9"/>
            <w:vAlign w:val="center"/>
          </w:tcPr>
          <w:p w14:paraId="347CAB5D" w14:textId="314C78DA" w:rsidR="009D6244" w:rsidRPr="00193C7A" w:rsidRDefault="009D6244" w:rsidP="00770981">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193C7A">
              <w:rPr>
                <w:rFonts w:ascii="Times New Roman" w:hAnsi="Times New Roman"/>
                <w:b/>
                <w:szCs w:val="24"/>
                <w:lang w:eastAsia="bg-BG"/>
              </w:rPr>
              <w:t>Технически и професионални възможности</w:t>
            </w:r>
          </w:p>
        </w:tc>
      </w:tr>
      <w:tr w:rsidR="00193C7A" w:rsidRPr="00193C7A" w14:paraId="7A3BFDB0" w14:textId="77777777" w:rsidTr="00204EF2">
        <w:trPr>
          <w:trHeight w:val="20"/>
        </w:trPr>
        <w:tc>
          <w:tcPr>
            <w:tcW w:w="9299" w:type="dxa"/>
            <w:tcBorders>
              <w:top w:val="single" w:sz="4" w:space="0" w:color="auto"/>
            </w:tcBorders>
            <w:vAlign w:val="center"/>
          </w:tcPr>
          <w:p w14:paraId="05990224" w14:textId="77777777" w:rsidR="00193C7A" w:rsidRPr="00193C7A" w:rsidRDefault="00193C7A" w:rsidP="00770981">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7920CBEB" w14:textId="12DFD23C" w:rsidR="00193C7A" w:rsidRPr="00193C7A" w:rsidRDefault="00C17C60" w:rsidP="00770981">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C17C60">
              <w:rPr>
                <w:rFonts w:ascii="Times New Roman" w:hAnsi="Times New Roman"/>
                <w:sz w:val="26"/>
                <w:szCs w:val="26"/>
                <w:lang w:eastAsia="bg-BG"/>
              </w:rPr>
              <w:t>В поле III.1.3) т. 1 е поставено изискване през последните 3 години, считано от датата, определена като краен срок за подаване на офертата, участникът да има изпълнени дейности с предмет и обем, идентични или сходни с тези на поръчката.</w:t>
            </w:r>
            <w:r w:rsidRPr="00C17C60">
              <w:rPr>
                <w:rFonts w:ascii="Times New Roman" w:hAnsi="Times New Roman"/>
                <w:bCs/>
                <w:sz w:val="26"/>
                <w:szCs w:val="26"/>
                <w:lang w:eastAsia="bg-BG"/>
              </w:rPr>
              <w:t xml:space="preserve"> Условието е неясно, доколкото в обявлението не се съдържа информация за обема на </w:t>
            </w:r>
            <w:r w:rsidR="008F596C">
              <w:rPr>
                <w:rFonts w:ascii="Times New Roman" w:hAnsi="Times New Roman"/>
                <w:bCs/>
                <w:sz w:val="26"/>
                <w:szCs w:val="26"/>
                <w:lang w:eastAsia="bg-BG"/>
              </w:rPr>
              <w:t>поръчката</w:t>
            </w:r>
            <w:r w:rsidRPr="00C17C60">
              <w:rPr>
                <w:rFonts w:ascii="Times New Roman" w:hAnsi="Times New Roman"/>
                <w:bCs/>
                <w:sz w:val="26"/>
                <w:szCs w:val="26"/>
                <w:lang w:eastAsia="bg-BG"/>
              </w:rPr>
              <w:t xml:space="preserve"> (вж. констатацията, направена в поле ІІ.2.4).</w:t>
            </w:r>
            <w:r w:rsidRPr="00C17C60">
              <w:rPr>
                <w:rFonts w:ascii="Times New Roman" w:hAnsi="Times New Roman"/>
                <w:sz w:val="26"/>
                <w:szCs w:val="26"/>
                <w:lang w:eastAsia="bg-BG"/>
              </w:rPr>
              <w:t xml:space="preserve"> </w:t>
            </w:r>
          </w:p>
        </w:tc>
      </w:tr>
    </w:tbl>
    <w:p w14:paraId="6A804AF0" w14:textId="77777777" w:rsidR="00193C7A" w:rsidRPr="00193C7A" w:rsidRDefault="00193C7A" w:rsidP="00770981">
      <w:pPr>
        <w:spacing w:after="0" w:line="240" w:lineRule="auto"/>
        <w:ind w:firstLine="0"/>
        <w:jc w:val="left"/>
        <w:rPr>
          <w:rFonts w:ascii="Times New Roman" w:hAnsi="Times New Roman"/>
          <w:szCs w:val="24"/>
          <w:lang w:eastAsia="bg-BG"/>
        </w:rPr>
      </w:pPr>
    </w:p>
    <w:p w14:paraId="72C1DBCD" w14:textId="189E609D" w:rsidR="00193C7A" w:rsidRDefault="009D6244" w:rsidP="00770981">
      <w:pPr>
        <w:tabs>
          <w:tab w:val="left" w:pos="1440"/>
        </w:tabs>
        <w:spacing w:after="0" w:line="240" w:lineRule="auto"/>
        <w:ind w:firstLine="0"/>
        <w:rPr>
          <w:rFonts w:ascii="Times New Roman" w:hAnsi="Times New Roman"/>
          <w:b/>
          <w:szCs w:val="24"/>
          <w:lang w:eastAsia="bg-BG"/>
        </w:rPr>
      </w:pPr>
      <w:r>
        <w:rPr>
          <w:rFonts w:ascii="Times New Roman" w:hAnsi="Times New Roman"/>
          <w:b/>
          <w:szCs w:val="24"/>
          <w:lang w:eastAsia="bg-BG"/>
        </w:rPr>
        <w:t>Т</w:t>
      </w:r>
      <w:r w:rsidR="00193C7A" w:rsidRPr="00F11DC8">
        <w:rPr>
          <w:rFonts w:ascii="Times New Roman" w:hAnsi="Times New Roman"/>
          <w:b/>
          <w:szCs w:val="24"/>
          <w:lang w:eastAsia="bg-BG"/>
        </w:rPr>
        <w:t>ехническа спецификация</w:t>
      </w:r>
    </w:p>
    <w:p w14:paraId="7B0B366E" w14:textId="77777777" w:rsidR="00E071CE" w:rsidRPr="009D6244" w:rsidRDefault="00E071CE" w:rsidP="00770981">
      <w:pPr>
        <w:tabs>
          <w:tab w:val="left" w:pos="1440"/>
        </w:tabs>
        <w:spacing w:after="0" w:line="240" w:lineRule="auto"/>
        <w:ind w:firstLine="0"/>
        <w:rPr>
          <w:rFonts w:ascii="Times New Roman" w:hAnsi="Times New Roman"/>
          <w:b/>
          <w:szCs w:val="24"/>
          <w:lang w:eastAsia="bg-BG"/>
        </w:rPr>
      </w:pPr>
    </w:p>
    <w:tbl>
      <w:tblPr>
        <w:tblW w:w="0" w:type="auto"/>
        <w:tblInd w:w="-15" w:type="dxa"/>
        <w:tblBorders>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9165"/>
      </w:tblGrid>
      <w:tr w:rsidR="00193C7A" w:rsidRPr="00193C7A" w14:paraId="5E540EEB" w14:textId="7AAAE85D" w:rsidTr="00282E95">
        <w:trPr>
          <w:trHeight w:val="811"/>
        </w:trPr>
        <w:tc>
          <w:tcPr>
            <w:tcW w:w="0" w:type="auto"/>
            <w:tcBorders>
              <w:top w:val="single" w:sz="12" w:space="0" w:color="auto"/>
              <w:bottom w:val="single" w:sz="12" w:space="0" w:color="auto"/>
            </w:tcBorders>
            <w:vAlign w:val="center"/>
          </w:tcPr>
          <w:p w14:paraId="0B99034D" w14:textId="6E2F254C" w:rsidR="00193C7A" w:rsidRPr="00193C7A" w:rsidRDefault="00193C7A" w:rsidP="00770981">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37EB3A91" w14:textId="2FA4AEDB" w:rsidR="00962510" w:rsidRDefault="00235E92" w:rsidP="00282E95">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Проверка</w:t>
            </w:r>
            <w:r w:rsidR="00E7064C">
              <w:rPr>
                <w:rFonts w:ascii="Times New Roman" w:hAnsi="Times New Roman"/>
                <w:sz w:val="26"/>
                <w:szCs w:val="26"/>
                <w:lang w:eastAsia="bg-BG"/>
              </w:rPr>
              <w:t xml:space="preserve"> </w:t>
            </w:r>
            <w:r>
              <w:rPr>
                <w:rFonts w:ascii="Times New Roman" w:hAnsi="Times New Roman"/>
                <w:sz w:val="26"/>
                <w:szCs w:val="26"/>
                <w:lang w:eastAsia="bg-BG"/>
              </w:rPr>
              <w:t>на техническата спецификация на първи етап от контрола е извършена от външен експерт</w:t>
            </w:r>
            <w:r w:rsidR="00897503">
              <w:rPr>
                <w:rFonts w:ascii="Times New Roman" w:hAnsi="Times New Roman"/>
                <w:sz w:val="26"/>
                <w:szCs w:val="26"/>
                <w:lang w:eastAsia="bg-BG"/>
              </w:rPr>
              <w:t>, в чието</w:t>
            </w:r>
            <w:r>
              <w:rPr>
                <w:rFonts w:ascii="Times New Roman" w:hAnsi="Times New Roman"/>
                <w:sz w:val="26"/>
                <w:szCs w:val="26"/>
                <w:lang w:eastAsia="bg-BG"/>
              </w:rPr>
              <w:t xml:space="preserve"> становище</w:t>
            </w:r>
            <w:r w:rsidR="00897503">
              <w:rPr>
                <w:rFonts w:ascii="Times New Roman" w:hAnsi="Times New Roman"/>
                <w:sz w:val="26"/>
                <w:szCs w:val="26"/>
                <w:lang w:eastAsia="bg-BG"/>
              </w:rPr>
              <w:t xml:space="preserve"> се съдържат</w:t>
            </w:r>
            <w:r>
              <w:rPr>
                <w:rFonts w:ascii="Times New Roman" w:hAnsi="Times New Roman"/>
                <w:sz w:val="26"/>
                <w:szCs w:val="26"/>
                <w:lang w:eastAsia="bg-BG"/>
              </w:rPr>
              <w:t xml:space="preserve"> препоръ</w:t>
            </w:r>
            <w:r w:rsidR="00897503">
              <w:rPr>
                <w:rFonts w:ascii="Times New Roman" w:hAnsi="Times New Roman"/>
                <w:sz w:val="26"/>
                <w:szCs w:val="26"/>
                <w:lang w:eastAsia="bg-BG"/>
              </w:rPr>
              <w:t>ки за съобразяване на</w:t>
            </w:r>
            <w:r>
              <w:rPr>
                <w:rFonts w:ascii="Times New Roman" w:hAnsi="Times New Roman"/>
                <w:sz w:val="26"/>
                <w:szCs w:val="26"/>
                <w:lang w:eastAsia="bg-BG"/>
              </w:rPr>
              <w:t xml:space="preserve"> </w:t>
            </w:r>
            <w:r w:rsidR="00962510">
              <w:rPr>
                <w:rFonts w:ascii="Times New Roman" w:hAnsi="Times New Roman"/>
                <w:sz w:val="26"/>
                <w:szCs w:val="26"/>
                <w:lang w:eastAsia="bg-BG"/>
              </w:rPr>
              <w:t xml:space="preserve">техническите </w:t>
            </w:r>
            <w:r w:rsidR="009D1715">
              <w:rPr>
                <w:rFonts w:ascii="Times New Roman" w:hAnsi="Times New Roman"/>
                <w:sz w:val="26"/>
                <w:szCs w:val="26"/>
                <w:lang w:eastAsia="bg-BG"/>
              </w:rPr>
              <w:t xml:space="preserve">изисквания </w:t>
            </w:r>
            <w:r>
              <w:rPr>
                <w:rFonts w:ascii="Times New Roman" w:hAnsi="Times New Roman"/>
                <w:sz w:val="26"/>
                <w:szCs w:val="26"/>
                <w:lang w:eastAsia="bg-BG"/>
              </w:rPr>
              <w:t>със специално</w:t>
            </w:r>
            <w:r w:rsidR="00581A3B">
              <w:rPr>
                <w:rFonts w:ascii="Times New Roman" w:hAnsi="Times New Roman"/>
                <w:sz w:val="26"/>
                <w:szCs w:val="26"/>
                <w:lang w:eastAsia="bg-BG"/>
              </w:rPr>
              <w:t xml:space="preserve">то </w:t>
            </w:r>
            <w:r>
              <w:rPr>
                <w:rFonts w:ascii="Times New Roman" w:hAnsi="Times New Roman"/>
                <w:sz w:val="26"/>
                <w:szCs w:val="26"/>
                <w:lang w:eastAsia="bg-BG"/>
              </w:rPr>
              <w:t xml:space="preserve">законодателство. </w:t>
            </w:r>
          </w:p>
          <w:p w14:paraId="08206875" w14:textId="263F6C31" w:rsidR="00193C7A" w:rsidRPr="00193C7A" w:rsidRDefault="00897503" w:rsidP="00282E95">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Препоръчваме </w:t>
            </w:r>
            <w:r w:rsidR="00E7064C">
              <w:rPr>
                <w:rFonts w:ascii="Times New Roman" w:hAnsi="Times New Roman"/>
                <w:sz w:val="26"/>
                <w:szCs w:val="26"/>
                <w:lang w:eastAsia="bg-BG"/>
              </w:rPr>
              <w:t xml:space="preserve">възложителят </w:t>
            </w:r>
            <w:r w:rsidR="00AD0EA3">
              <w:rPr>
                <w:rFonts w:ascii="Times New Roman" w:hAnsi="Times New Roman"/>
                <w:sz w:val="26"/>
                <w:szCs w:val="26"/>
                <w:lang w:eastAsia="bg-BG"/>
              </w:rPr>
              <w:t>да приложи мотиви в досието на обществената поръчка</w:t>
            </w:r>
            <w:r>
              <w:rPr>
                <w:rFonts w:ascii="Times New Roman" w:hAnsi="Times New Roman"/>
                <w:sz w:val="26"/>
                <w:szCs w:val="26"/>
                <w:lang w:eastAsia="bg-BG"/>
              </w:rPr>
              <w:t>, ако не се е съобразил с тях</w:t>
            </w:r>
            <w:r w:rsidR="00AD0EA3">
              <w:rPr>
                <w:rFonts w:ascii="Times New Roman" w:hAnsi="Times New Roman"/>
                <w:sz w:val="26"/>
                <w:szCs w:val="26"/>
                <w:lang w:eastAsia="bg-BG"/>
              </w:rPr>
              <w:t>.</w:t>
            </w:r>
          </w:p>
        </w:tc>
      </w:tr>
    </w:tbl>
    <w:p w14:paraId="59CD32F9" w14:textId="77777777" w:rsidR="00193C7A" w:rsidRPr="00193C7A" w:rsidRDefault="00193C7A" w:rsidP="00770981">
      <w:pPr>
        <w:keepNext/>
        <w:keepLines/>
        <w:spacing w:after="0" w:line="240" w:lineRule="auto"/>
        <w:ind w:firstLine="0"/>
        <w:jc w:val="left"/>
        <w:outlineLvl w:val="4"/>
        <w:rPr>
          <w:rFonts w:ascii="Times New Roman" w:hAnsi="Times New Roman"/>
          <w:szCs w:val="24"/>
          <w:lang w:eastAsia="bg-BG"/>
        </w:rPr>
      </w:pPr>
    </w:p>
    <w:p w14:paraId="2B524F12" w14:textId="77777777" w:rsidR="00E071CE" w:rsidRDefault="00E071CE" w:rsidP="009D6244">
      <w:pPr>
        <w:tabs>
          <w:tab w:val="left" w:pos="1440"/>
        </w:tabs>
        <w:spacing w:after="0" w:line="240" w:lineRule="auto"/>
        <w:ind w:firstLine="0"/>
        <w:rPr>
          <w:rFonts w:ascii="Times New Roman" w:hAnsi="Times New Roman"/>
          <w:b/>
          <w:szCs w:val="24"/>
          <w:lang w:eastAsia="bg-BG"/>
        </w:rPr>
      </w:pPr>
    </w:p>
    <w:p w14:paraId="0FB038CA" w14:textId="77777777" w:rsidR="00E071CE" w:rsidRDefault="00E071CE" w:rsidP="009D6244">
      <w:pPr>
        <w:tabs>
          <w:tab w:val="left" w:pos="1440"/>
        </w:tabs>
        <w:spacing w:after="0" w:line="240" w:lineRule="auto"/>
        <w:ind w:firstLine="0"/>
        <w:rPr>
          <w:rFonts w:ascii="Times New Roman" w:hAnsi="Times New Roman"/>
          <w:b/>
          <w:szCs w:val="24"/>
          <w:lang w:eastAsia="bg-BG"/>
        </w:rPr>
      </w:pPr>
    </w:p>
    <w:p w14:paraId="30295FFC" w14:textId="09F00865" w:rsidR="00193C7A" w:rsidRDefault="009D6244" w:rsidP="009D6244">
      <w:pPr>
        <w:tabs>
          <w:tab w:val="left" w:pos="1440"/>
        </w:tabs>
        <w:spacing w:after="0" w:line="240" w:lineRule="auto"/>
        <w:ind w:firstLine="0"/>
        <w:rPr>
          <w:rFonts w:ascii="Times New Roman" w:hAnsi="Times New Roman"/>
          <w:b/>
          <w:szCs w:val="24"/>
          <w:lang w:eastAsia="bg-BG"/>
        </w:rPr>
      </w:pPr>
      <w:r w:rsidRPr="009D6244">
        <w:rPr>
          <w:rFonts w:ascii="Times New Roman" w:hAnsi="Times New Roman"/>
          <w:b/>
          <w:szCs w:val="24"/>
          <w:lang w:eastAsia="bg-BG"/>
        </w:rPr>
        <w:t>М</w:t>
      </w:r>
      <w:r w:rsidR="00193C7A" w:rsidRPr="009D6244">
        <w:rPr>
          <w:rFonts w:ascii="Times New Roman" w:hAnsi="Times New Roman"/>
          <w:b/>
          <w:szCs w:val="24"/>
          <w:lang w:eastAsia="bg-BG"/>
        </w:rPr>
        <w:t>етодика</w:t>
      </w:r>
      <w:r w:rsidR="00E071CE">
        <w:rPr>
          <w:rFonts w:ascii="Times New Roman" w:hAnsi="Times New Roman"/>
          <w:b/>
          <w:szCs w:val="24"/>
          <w:lang w:eastAsia="bg-BG"/>
        </w:rPr>
        <w:t xml:space="preserve"> за оценка</w:t>
      </w:r>
    </w:p>
    <w:p w14:paraId="587EC822" w14:textId="77777777" w:rsidR="00282E95" w:rsidRPr="009D6244" w:rsidRDefault="00282E95" w:rsidP="009D6244">
      <w:pPr>
        <w:tabs>
          <w:tab w:val="left" w:pos="1440"/>
        </w:tabs>
        <w:spacing w:after="0" w:line="240" w:lineRule="auto"/>
        <w:ind w:firstLine="0"/>
        <w:rPr>
          <w:rFonts w:ascii="Times New Roman" w:hAnsi="Times New Roman"/>
          <w:b/>
          <w:szCs w:val="24"/>
          <w:lang w:eastAsia="bg-BG"/>
        </w:rPr>
      </w:pPr>
    </w:p>
    <w:tbl>
      <w:tblPr>
        <w:tblW w:w="928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84"/>
      </w:tblGrid>
      <w:tr w:rsidR="00193C7A" w:rsidRPr="00193C7A" w14:paraId="5DF15ECB" w14:textId="77777777" w:rsidTr="00282E95">
        <w:trPr>
          <w:trHeight w:val="550"/>
        </w:trPr>
        <w:tc>
          <w:tcPr>
            <w:tcW w:w="9284" w:type="dxa"/>
            <w:tcBorders>
              <w:top w:val="single" w:sz="12" w:space="0" w:color="auto"/>
              <w:bottom w:val="single" w:sz="12" w:space="0" w:color="auto"/>
            </w:tcBorders>
            <w:vAlign w:val="center"/>
          </w:tcPr>
          <w:p w14:paraId="3FC7F0CE" w14:textId="77777777" w:rsidR="00193C7A" w:rsidRPr="00193C7A" w:rsidRDefault="00193C7A" w:rsidP="00770981">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025AFB80" w14:textId="2641D3D2" w:rsidR="00282700" w:rsidRDefault="007E769B" w:rsidP="00770981">
            <w:pPr>
              <w:spacing w:before="60" w:after="60" w:line="240" w:lineRule="auto"/>
              <w:ind w:firstLine="567"/>
              <w:rPr>
                <w:rFonts w:ascii="Times New Roman" w:hAnsi="Times New Roman"/>
                <w:bCs/>
                <w:sz w:val="26"/>
                <w:szCs w:val="26"/>
              </w:rPr>
            </w:pPr>
            <w:r w:rsidRPr="007E769B">
              <w:rPr>
                <w:rFonts w:ascii="Times New Roman" w:hAnsi="Times New Roman"/>
                <w:bCs/>
                <w:sz w:val="26"/>
                <w:szCs w:val="26"/>
              </w:rPr>
              <w:t xml:space="preserve">Методиката за оценка </w:t>
            </w:r>
            <w:r w:rsidR="0044521E">
              <w:rPr>
                <w:rFonts w:ascii="Times New Roman" w:hAnsi="Times New Roman"/>
                <w:bCs/>
                <w:sz w:val="26"/>
                <w:szCs w:val="26"/>
              </w:rPr>
              <w:t>се състои от два показателя с равна тежест в комплексната оценка. Според разработената таблица</w:t>
            </w:r>
            <w:r w:rsidR="00282700">
              <w:rPr>
                <w:rFonts w:ascii="Times New Roman" w:hAnsi="Times New Roman"/>
                <w:bCs/>
                <w:sz w:val="26"/>
                <w:szCs w:val="26"/>
              </w:rPr>
              <w:t xml:space="preserve"> за</w:t>
            </w:r>
            <w:r w:rsidR="0044521E">
              <w:rPr>
                <w:rFonts w:ascii="Times New Roman" w:hAnsi="Times New Roman"/>
                <w:bCs/>
                <w:sz w:val="26"/>
                <w:szCs w:val="26"/>
              </w:rPr>
              <w:t xml:space="preserve"> формирането на оценката </w:t>
            </w:r>
            <w:r w:rsidR="00282700">
              <w:rPr>
                <w:rFonts w:ascii="Times New Roman" w:hAnsi="Times New Roman"/>
                <w:bCs/>
                <w:sz w:val="26"/>
                <w:szCs w:val="26"/>
              </w:rPr>
              <w:t>по</w:t>
            </w:r>
            <w:r w:rsidR="0044521E">
              <w:rPr>
                <w:rFonts w:ascii="Times New Roman" w:hAnsi="Times New Roman"/>
                <w:bCs/>
                <w:sz w:val="26"/>
                <w:szCs w:val="26"/>
              </w:rPr>
              <w:t xml:space="preserve"> </w:t>
            </w:r>
            <w:r w:rsidR="00282700">
              <w:rPr>
                <w:rFonts w:ascii="Times New Roman" w:hAnsi="Times New Roman"/>
                <w:bCs/>
                <w:sz w:val="26"/>
                <w:szCs w:val="26"/>
              </w:rPr>
              <w:t>техническия показател, офертите могат да получат 30, 40 или 50 точки, като най-н</w:t>
            </w:r>
            <w:bookmarkStart w:id="2" w:name="_GoBack"/>
            <w:bookmarkEnd w:id="2"/>
            <w:r w:rsidR="00282700">
              <w:rPr>
                <w:rFonts w:ascii="Times New Roman" w:hAnsi="Times New Roman"/>
                <w:bCs/>
                <w:sz w:val="26"/>
                <w:szCs w:val="26"/>
              </w:rPr>
              <w:t xml:space="preserve">иското ниво изисква изпълнение на минималните изисквания на възложителя, а следващите две – изпълнение на едно или две надграждащи обстоятелства. Като надграждащи са дефинирани 1) показване разпределението на експертите и 2) дефиниране на необходимите ресурси. Доколкото методиката не изследва разликите между различните разпределения, а е достатъчно само посочването на съответната информация, възложителят следва да разполага с доказателства, че е спазен чл. 33 от ППЗОП и че избраният подход за оценка позволява разграничаване на по-качествените предложения и осигурява избор на най-добрата оферта. </w:t>
            </w:r>
          </w:p>
          <w:p w14:paraId="3738687F" w14:textId="7F480C70" w:rsidR="00897503" w:rsidRDefault="00282700" w:rsidP="00770981">
            <w:pPr>
              <w:spacing w:before="60" w:after="60" w:line="240" w:lineRule="auto"/>
              <w:ind w:firstLine="567"/>
              <w:rPr>
                <w:rFonts w:ascii="Times New Roman" w:hAnsi="Times New Roman"/>
                <w:bCs/>
                <w:sz w:val="26"/>
                <w:szCs w:val="26"/>
              </w:rPr>
            </w:pPr>
            <w:r>
              <w:rPr>
                <w:rFonts w:ascii="Times New Roman" w:hAnsi="Times New Roman"/>
                <w:bCs/>
                <w:sz w:val="26"/>
                <w:szCs w:val="26"/>
              </w:rPr>
              <w:t xml:space="preserve">В допълнение, </w:t>
            </w:r>
            <w:r w:rsidRPr="00282700">
              <w:rPr>
                <w:rFonts w:ascii="Times New Roman" w:hAnsi="Times New Roman"/>
                <w:bCs/>
                <w:sz w:val="26"/>
                <w:szCs w:val="26"/>
              </w:rPr>
              <w:t xml:space="preserve">в техническата спецификация се съдържат детайлни указания и нормативни изисквания към технологическата организация на дейностите по </w:t>
            </w:r>
            <w:r w:rsidR="00AD19D5">
              <w:rPr>
                <w:rFonts w:ascii="Times New Roman" w:hAnsi="Times New Roman"/>
                <w:bCs/>
                <w:sz w:val="26"/>
                <w:szCs w:val="26"/>
              </w:rPr>
              <w:t xml:space="preserve">възлагания предмет - </w:t>
            </w:r>
            <w:r w:rsidRPr="00282700">
              <w:rPr>
                <w:rFonts w:ascii="Times New Roman" w:hAnsi="Times New Roman"/>
                <w:bCs/>
                <w:sz w:val="26"/>
                <w:szCs w:val="26"/>
              </w:rPr>
              <w:t>строителен надзор</w:t>
            </w:r>
            <w:r w:rsidR="00AD19D5">
              <w:rPr>
                <w:rFonts w:ascii="Times New Roman" w:hAnsi="Times New Roman"/>
                <w:bCs/>
                <w:sz w:val="26"/>
                <w:szCs w:val="26"/>
              </w:rPr>
              <w:t>. С оглед на това възложителят следва да може да докаже</w:t>
            </w:r>
            <w:r w:rsidRPr="00282700">
              <w:rPr>
                <w:rFonts w:ascii="Times New Roman" w:hAnsi="Times New Roman"/>
                <w:bCs/>
                <w:sz w:val="26"/>
                <w:szCs w:val="26"/>
              </w:rPr>
              <w:t xml:space="preserve">, </w:t>
            </w:r>
            <w:r w:rsidR="00AD19D5">
              <w:rPr>
                <w:rFonts w:ascii="Times New Roman" w:hAnsi="Times New Roman"/>
                <w:bCs/>
                <w:sz w:val="26"/>
                <w:szCs w:val="26"/>
              </w:rPr>
              <w:t>поставените условия позволяват</w:t>
            </w:r>
            <w:r w:rsidRPr="00282700">
              <w:rPr>
                <w:rFonts w:ascii="Times New Roman" w:hAnsi="Times New Roman"/>
                <w:bCs/>
                <w:sz w:val="26"/>
                <w:szCs w:val="26"/>
              </w:rPr>
              <w:t xml:space="preserve"> да се предложи разпределение и отговорности, различни от </w:t>
            </w:r>
            <w:r w:rsidR="00AD19D5">
              <w:rPr>
                <w:rFonts w:ascii="Times New Roman" w:hAnsi="Times New Roman"/>
                <w:bCs/>
                <w:sz w:val="26"/>
                <w:szCs w:val="26"/>
              </w:rPr>
              <w:t>описаните, респ., че е възможно</w:t>
            </w:r>
            <w:r w:rsidRPr="00282700">
              <w:rPr>
                <w:rFonts w:ascii="Times New Roman" w:hAnsi="Times New Roman"/>
                <w:bCs/>
                <w:sz w:val="26"/>
                <w:szCs w:val="26"/>
              </w:rPr>
              <w:t xml:space="preserve"> надграждане</w:t>
            </w:r>
            <w:r w:rsidR="00AD19D5">
              <w:rPr>
                <w:rFonts w:ascii="Times New Roman" w:hAnsi="Times New Roman"/>
                <w:bCs/>
                <w:sz w:val="26"/>
                <w:szCs w:val="26"/>
              </w:rPr>
              <w:t>, което</w:t>
            </w:r>
            <w:r w:rsidRPr="00282700">
              <w:rPr>
                <w:rFonts w:ascii="Times New Roman" w:hAnsi="Times New Roman"/>
                <w:bCs/>
                <w:sz w:val="26"/>
                <w:szCs w:val="26"/>
              </w:rPr>
              <w:t xml:space="preserve"> </w:t>
            </w:r>
            <w:r w:rsidR="00AD19D5">
              <w:rPr>
                <w:rFonts w:ascii="Times New Roman" w:hAnsi="Times New Roman"/>
                <w:bCs/>
                <w:sz w:val="26"/>
                <w:szCs w:val="26"/>
              </w:rPr>
              <w:t>да се оценява</w:t>
            </w:r>
            <w:r w:rsidRPr="00282700">
              <w:rPr>
                <w:rFonts w:ascii="Times New Roman" w:hAnsi="Times New Roman"/>
                <w:bCs/>
                <w:sz w:val="26"/>
                <w:szCs w:val="26"/>
              </w:rPr>
              <w:t>.</w:t>
            </w:r>
          </w:p>
          <w:p w14:paraId="786F392D" w14:textId="2F668683" w:rsidR="00ED32EC" w:rsidRPr="00193C7A" w:rsidRDefault="00897503" w:rsidP="00770981">
            <w:pPr>
              <w:spacing w:before="60" w:after="60" w:line="240" w:lineRule="auto"/>
              <w:ind w:firstLine="567"/>
              <w:rPr>
                <w:rFonts w:ascii="Times New Roman" w:hAnsi="Times New Roman"/>
                <w:sz w:val="26"/>
                <w:szCs w:val="26"/>
              </w:rPr>
            </w:pPr>
            <w:r>
              <w:rPr>
                <w:rFonts w:ascii="Times New Roman" w:hAnsi="Times New Roman"/>
                <w:bCs/>
                <w:sz w:val="26"/>
                <w:szCs w:val="26"/>
              </w:rPr>
              <w:t xml:space="preserve">В края на методиката </w:t>
            </w:r>
            <w:r w:rsidR="008103DE">
              <w:rPr>
                <w:rFonts w:ascii="Times New Roman" w:hAnsi="Times New Roman"/>
                <w:bCs/>
                <w:sz w:val="26"/>
                <w:szCs w:val="26"/>
              </w:rPr>
              <w:t xml:space="preserve">се съдържат дефиниции, които според указанията на възложителя, касаят използвани в раздела определения и следва да </w:t>
            </w:r>
            <w:r w:rsidR="0044521E">
              <w:rPr>
                <w:rFonts w:ascii="Times New Roman" w:hAnsi="Times New Roman"/>
                <w:bCs/>
                <w:sz w:val="26"/>
                <w:szCs w:val="26"/>
              </w:rPr>
              <w:t>изяснят тяхното</w:t>
            </w:r>
            <w:r w:rsidR="008103DE">
              <w:rPr>
                <w:rFonts w:ascii="Times New Roman" w:hAnsi="Times New Roman"/>
                <w:bCs/>
                <w:sz w:val="26"/>
                <w:szCs w:val="26"/>
              </w:rPr>
              <w:t xml:space="preserve"> тълкува</w:t>
            </w:r>
            <w:r w:rsidR="0044521E">
              <w:rPr>
                <w:rFonts w:ascii="Times New Roman" w:hAnsi="Times New Roman"/>
                <w:bCs/>
                <w:sz w:val="26"/>
                <w:szCs w:val="26"/>
              </w:rPr>
              <w:t>не</w:t>
            </w:r>
            <w:r w:rsidR="008103DE">
              <w:rPr>
                <w:rFonts w:ascii="Times New Roman" w:hAnsi="Times New Roman"/>
                <w:bCs/>
                <w:sz w:val="26"/>
                <w:szCs w:val="26"/>
              </w:rPr>
              <w:t xml:space="preserve"> в текста. Доколкото и двете дефиниции – „обосновава“ и „неподходяща оферта“ не се употребяват в </w:t>
            </w:r>
            <w:r w:rsidR="0044521E">
              <w:rPr>
                <w:rFonts w:ascii="Times New Roman" w:hAnsi="Times New Roman"/>
                <w:bCs/>
                <w:sz w:val="26"/>
                <w:szCs w:val="26"/>
              </w:rPr>
              <w:t>указанията за определяне на оценката</w:t>
            </w:r>
            <w:r w:rsidR="008103DE">
              <w:rPr>
                <w:rFonts w:ascii="Times New Roman" w:hAnsi="Times New Roman"/>
                <w:bCs/>
                <w:sz w:val="26"/>
                <w:szCs w:val="26"/>
              </w:rPr>
              <w:t>, то визираната част от методиката е неясна и объркваща.</w:t>
            </w:r>
          </w:p>
        </w:tc>
      </w:tr>
    </w:tbl>
    <w:p w14:paraId="5C7050D9" w14:textId="77777777" w:rsidR="002E6A50" w:rsidRDefault="002E6A50" w:rsidP="00770981">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1CB5D3FB" w14:textId="23D22482" w:rsidR="00193C7A" w:rsidRPr="00F11DC8" w:rsidRDefault="00193C7A" w:rsidP="0014041A">
      <w:pPr>
        <w:spacing w:after="0" w:line="240" w:lineRule="auto"/>
        <w:ind w:firstLine="0"/>
        <w:jc w:val="left"/>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06920FF1" w14:textId="77777777" w:rsidR="00193C7A" w:rsidRPr="00F11DC8" w:rsidRDefault="00193C7A" w:rsidP="00770981">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2C7A362B" w14:textId="77777777" w:rsidR="00193C7A" w:rsidRPr="00F11DC8" w:rsidRDefault="00193C7A" w:rsidP="00770981">
      <w:pPr>
        <w:tabs>
          <w:tab w:val="left" w:pos="1440"/>
        </w:tabs>
        <w:spacing w:after="0" w:line="240" w:lineRule="auto"/>
        <w:ind w:firstLine="0"/>
        <w:rPr>
          <w:rFonts w:ascii="Times New Roman" w:hAnsi="Times New Roman"/>
          <w:szCs w:val="24"/>
          <w:lang w:eastAsia="bg-BG"/>
        </w:rPr>
      </w:pPr>
    </w:p>
    <w:tbl>
      <w:tblPr>
        <w:tblW w:w="92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9"/>
      </w:tblGrid>
      <w:tr w:rsidR="00193C7A" w:rsidRPr="00F11DC8" w14:paraId="3D55123A" w14:textId="77777777" w:rsidTr="00204EF2">
        <w:trPr>
          <w:trHeight w:val="197"/>
        </w:trPr>
        <w:tc>
          <w:tcPr>
            <w:tcW w:w="9299" w:type="dxa"/>
            <w:tcBorders>
              <w:top w:val="single" w:sz="12" w:space="0" w:color="auto"/>
              <w:left w:val="single" w:sz="12" w:space="0" w:color="auto"/>
              <w:bottom w:val="single" w:sz="12" w:space="0" w:color="auto"/>
              <w:right w:val="single" w:sz="12" w:space="0" w:color="auto"/>
            </w:tcBorders>
            <w:vAlign w:val="center"/>
          </w:tcPr>
          <w:p w14:paraId="39639B99" w14:textId="6F83CC33" w:rsidR="00193C7A" w:rsidRPr="00F11DC8" w:rsidRDefault="003C315F" w:rsidP="009D6244">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F11DC8">
              <w:rPr>
                <w:rFonts w:ascii="Times New Roman" w:hAnsi="Times New Roman"/>
                <w:sz w:val="26"/>
                <w:szCs w:val="26"/>
                <w:lang w:eastAsia="bg-BG"/>
              </w:rPr>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w:t>
            </w:r>
            <w:r w:rsidR="007B1E88">
              <w:rPr>
                <w:rFonts w:ascii="Times New Roman" w:hAnsi="Times New Roman"/>
                <w:sz w:val="26"/>
                <w:szCs w:val="26"/>
                <w:lang w:eastAsia="bg-BG"/>
              </w:rPr>
              <w:t>.</w:t>
            </w:r>
            <w:r w:rsidRPr="00F11DC8">
              <w:rPr>
                <w:rFonts w:ascii="Times New Roman" w:hAnsi="Times New Roman"/>
                <w:sz w:val="26"/>
                <w:szCs w:val="26"/>
                <w:lang w:eastAsia="bg-BG"/>
              </w:rPr>
              <w:t xml:space="preserve"> </w:t>
            </w:r>
          </w:p>
        </w:tc>
      </w:tr>
    </w:tbl>
    <w:p w14:paraId="26C2A99B" w14:textId="77777777" w:rsidR="00AF5399" w:rsidRDefault="00AF5399" w:rsidP="00AF5399">
      <w:pPr>
        <w:spacing w:after="0" w:line="240" w:lineRule="auto"/>
        <w:ind w:firstLine="0"/>
        <w:rPr>
          <w:rFonts w:ascii="Times New Roman" w:hAnsi="Times New Roman"/>
          <w:b/>
          <w:sz w:val="26"/>
        </w:rPr>
      </w:pPr>
    </w:p>
    <w:p w14:paraId="14F16EBC" w14:textId="77777777" w:rsidR="00AF5399" w:rsidRDefault="00AF5399" w:rsidP="00AF5399">
      <w:pPr>
        <w:spacing w:after="0" w:line="240" w:lineRule="auto"/>
        <w:ind w:left="6372" w:firstLine="0"/>
        <w:rPr>
          <w:rFonts w:ascii="Times New Roman" w:hAnsi="Times New Roman"/>
          <w:b/>
          <w:sz w:val="26"/>
        </w:rPr>
      </w:pPr>
    </w:p>
    <w:p w14:paraId="4E50677D" w14:textId="77777777" w:rsidR="00AF5399" w:rsidRPr="00D94DB1" w:rsidRDefault="00AF5399" w:rsidP="00AF5399">
      <w:pPr>
        <w:tabs>
          <w:tab w:val="left" w:pos="1440"/>
        </w:tabs>
        <w:spacing w:after="0" w:line="240" w:lineRule="auto"/>
        <w:ind w:firstLine="0"/>
        <w:rPr>
          <w:rFonts w:ascii="Times New Roman" w:hAnsi="Times New Roman"/>
        </w:rPr>
      </w:pPr>
    </w:p>
    <w:p w14:paraId="7D9EF335" w14:textId="77777777" w:rsidR="00AF5399" w:rsidRPr="00B13D24" w:rsidRDefault="00AF5399" w:rsidP="00AF5399">
      <w:pPr>
        <w:ind w:left="2404" w:firstLine="436"/>
        <w:rPr>
          <w:rFonts w:ascii="Times New Roman" w:hAnsi="Times New Roman"/>
          <w:szCs w:val="24"/>
          <w:lang w:val="ru-RU" w:eastAsia="bg-BG"/>
        </w:rPr>
      </w:pPr>
      <w:r w:rsidRPr="00B13D24">
        <w:rPr>
          <w:rFonts w:ascii="Times New Roman" w:hAnsi="Times New Roman"/>
          <w:b/>
          <w:sz w:val="26"/>
          <w:szCs w:val="26"/>
          <w:lang w:eastAsia="bg-BG"/>
        </w:rPr>
        <w:t>и</w:t>
      </w:r>
      <w:r>
        <w:rPr>
          <w:rFonts w:ascii="Times New Roman" w:hAnsi="Times New Roman"/>
          <w:b/>
          <w:sz w:val="26"/>
          <w:szCs w:val="26"/>
          <w:lang w:eastAsia="bg-BG"/>
        </w:rPr>
        <w:t xml:space="preserve">. </w:t>
      </w:r>
      <w:r w:rsidRPr="00B13D24">
        <w:rPr>
          <w:rFonts w:ascii="Times New Roman" w:hAnsi="Times New Roman"/>
          <w:b/>
          <w:sz w:val="26"/>
          <w:szCs w:val="26"/>
          <w:lang w:eastAsia="bg-BG"/>
        </w:rPr>
        <w:t>д</w:t>
      </w:r>
      <w:r>
        <w:rPr>
          <w:rFonts w:ascii="Times New Roman" w:hAnsi="Times New Roman"/>
          <w:b/>
          <w:sz w:val="26"/>
          <w:szCs w:val="26"/>
          <w:lang w:eastAsia="bg-BG"/>
        </w:rPr>
        <w:t>. ГЛАВЕН СЕКРЕТАР</w:t>
      </w:r>
      <w:r w:rsidRPr="00B13D24">
        <w:rPr>
          <w:rFonts w:ascii="Times New Roman" w:hAnsi="Times New Roman"/>
          <w:b/>
          <w:sz w:val="26"/>
          <w:szCs w:val="26"/>
          <w:lang w:eastAsia="bg-BG"/>
        </w:rPr>
        <w:t>: Подпис (не се чете)</w:t>
      </w:r>
    </w:p>
    <w:p w14:paraId="55E53F6C" w14:textId="410E92DC" w:rsidR="00AF5399" w:rsidRPr="00B13D24" w:rsidRDefault="00D9037B" w:rsidP="00AF5399">
      <w:pPr>
        <w:spacing w:after="0" w:line="240" w:lineRule="auto"/>
        <w:ind w:left="4395"/>
        <w:rPr>
          <w:rFonts w:ascii="Times New Roman" w:hAnsi="Times New Roman"/>
          <w:b/>
          <w:sz w:val="26"/>
          <w:szCs w:val="26"/>
          <w:lang w:eastAsia="bg-BG"/>
        </w:rPr>
      </w:pPr>
      <w:r>
        <w:rPr>
          <w:rFonts w:ascii="Times New Roman" w:hAnsi="Times New Roman"/>
          <w:b/>
          <w:sz w:val="26"/>
          <w:szCs w:val="26"/>
          <w:lang w:eastAsia="bg-BG"/>
        </w:rPr>
        <w:t xml:space="preserve">      </w:t>
      </w:r>
      <w:r w:rsidR="00AF5399">
        <w:rPr>
          <w:rFonts w:ascii="Times New Roman" w:hAnsi="Times New Roman"/>
          <w:b/>
          <w:sz w:val="26"/>
          <w:szCs w:val="26"/>
          <w:lang w:eastAsia="bg-BG"/>
        </w:rPr>
        <w:t>МИХАИЛ МИХАЙЛОВ</w:t>
      </w:r>
    </w:p>
    <w:p w14:paraId="56BF0626" w14:textId="77777777" w:rsidR="00AF5399" w:rsidRPr="00B13D24" w:rsidRDefault="00AF5399" w:rsidP="00AF5399">
      <w:pPr>
        <w:spacing w:after="0" w:line="240" w:lineRule="auto"/>
        <w:ind w:left="6300"/>
        <w:rPr>
          <w:rFonts w:ascii="Times New Roman" w:hAnsi="Times New Roman"/>
          <w:b/>
          <w:sz w:val="26"/>
          <w:szCs w:val="26"/>
          <w:lang w:eastAsia="bg-BG"/>
        </w:rPr>
      </w:pPr>
    </w:p>
    <w:p w14:paraId="795BB991" w14:textId="77777777" w:rsidR="00AF5399" w:rsidRPr="00B13D24" w:rsidRDefault="00AF5399" w:rsidP="00AF5399">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4EEAE0BE" w14:textId="77777777" w:rsidR="00AF5399" w:rsidRPr="00D9626F" w:rsidRDefault="00AF5399" w:rsidP="00AF5399">
      <w:pPr>
        <w:spacing w:after="0" w:line="240" w:lineRule="auto"/>
        <w:ind w:right="2705" w:firstLine="0"/>
        <w:rPr>
          <w:rFonts w:ascii="Times New Roman" w:hAnsi="Times New Roman"/>
          <w:szCs w:val="24"/>
          <w:lang w:eastAsia="bg-BG"/>
        </w:rPr>
      </w:pPr>
      <w:r w:rsidRPr="00B13D24">
        <w:rPr>
          <w:rFonts w:ascii="Times New Roman" w:hAnsi="Times New Roman"/>
          <w:b/>
          <w:sz w:val="26"/>
          <w:szCs w:val="26"/>
          <w:lang w:eastAsia="bg-BG"/>
        </w:rPr>
        <w:t>подписан на хартия</w:t>
      </w:r>
    </w:p>
    <w:p w14:paraId="36EB9F45" w14:textId="31B5CE93" w:rsidR="001A1190" w:rsidRPr="00E071CE" w:rsidRDefault="001A1190" w:rsidP="00AF5399">
      <w:pPr>
        <w:keepNext/>
        <w:tabs>
          <w:tab w:val="right" w:pos="9360"/>
        </w:tabs>
        <w:autoSpaceDE w:val="0"/>
        <w:autoSpaceDN w:val="0"/>
        <w:adjustRightInd w:val="0"/>
        <w:spacing w:after="0" w:line="240" w:lineRule="auto"/>
        <w:ind w:firstLine="0"/>
        <w:jc w:val="left"/>
        <w:outlineLvl w:val="2"/>
        <w:rPr>
          <w:sz w:val="22"/>
          <w:szCs w:val="22"/>
        </w:rPr>
      </w:pPr>
    </w:p>
    <w:sectPr w:rsidR="001A1190" w:rsidRPr="00E071CE"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C10FC" w14:textId="77777777" w:rsidR="0044521E" w:rsidRDefault="0044521E">
      <w:r>
        <w:separator/>
      </w:r>
    </w:p>
  </w:endnote>
  <w:endnote w:type="continuationSeparator" w:id="0">
    <w:p w14:paraId="033EB3A7" w14:textId="77777777" w:rsidR="0044521E" w:rsidRDefault="0044521E">
      <w:r>
        <w:continuationSeparator/>
      </w:r>
    </w:p>
  </w:endnote>
  <w:endnote w:type="continuationNotice" w:id="1">
    <w:p w14:paraId="737FA8BA" w14:textId="77777777" w:rsidR="0044521E" w:rsidRDefault="00445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FAC8" w14:textId="3808D632" w:rsidR="0044521E" w:rsidRDefault="0044521E">
    <w:pPr>
      <w:pStyle w:val="Footer"/>
      <w:jc w:val="right"/>
    </w:pPr>
    <w:r>
      <w:fldChar w:fldCharType="begin"/>
    </w:r>
    <w:r>
      <w:instrText xml:space="preserve"> PAGE   \* MERGEFORMAT </w:instrText>
    </w:r>
    <w:r>
      <w:fldChar w:fldCharType="separate"/>
    </w:r>
    <w:r w:rsidR="00282E95">
      <w:rPr>
        <w:noProof/>
      </w:rPr>
      <w:t>4</w:t>
    </w:r>
    <w:r>
      <w:rPr>
        <w:noProof/>
      </w:rPr>
      <w:fldChar w:fldCharType="end"/>
    </w:r>
  </w:p>
  <w:p w14:paraId="4F1AAC83" w14:textId="77777777" w:rsidR="0044521E" w:rsidRDefault="004452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239A" w14:textId="77777777" w:rsidR="0044521E" w:rsidRDefault="0044521E">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2419C815" wp14:editId="0C1D99FC">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BD591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68926CA9" w14:textId="77777777" w:rsidR="0044521E" w:rsidRDefault="0044521E">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545F858E" w14:textId="77777777" w:rsidR="0044521E" w:rsidRPr="00E7009E" w:rsidRDefault="0044521E">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F938395" w14:textId="77777777" w:rsidR="0044521E" w:rsidRDefault="0044521E">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F99A8" w14:textId="77777777" w:rsidR="0044521E" w:rsidRDefault="0044521E">
      <w:r>
        <w:separator/>
      </w:r>
    </w:p>
  </w:footnote>
  <w:footnote w:type="continuationSeparator" w:id="0">
    <w:p w14:paraId="7AB99710" w14:textId="77777777" w:rsidR="0044521E" w:rsidRDefault="0044521E">
      <w:r>
        <w:continuationSeparator/>
      </w:r>
    </w:p>
  </w:footnote>
  <w:footnote w:type="continuationNotice" w:id="1">
    <w:p w14:paraId="3ECBACEE" w14:textId="77777777" w:rsidR="0044521E" w:rsidRDefault="0044521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B9E3" w14:textId="77777777" w:rsidR="0044521E" w:rsidRDefault="0044521E">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14913E09" wp14:editId="2305A63B">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4A6638"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9264" behindDoc="0" locked="0" layoutInCell="0" allowOverlap="1" wp14:anchorId="2AC6D96F" wp14:editId="2990536A">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5961D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20DCC60D" wp14:editId="50A6B192">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90F8B" w14:textId="77777777" w:rsidR="0044521E" w:rsidRPr="008121DC" w:rsidRDefault="0044521E"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7EC62DC5" w14:textId="77777777" w:rsidR="0044521E" w:rsidRPr="008121DC" w:rsidRDefault="0044521E" w:rsidP="009B5F78">
                          <w:pPr>
                            <w:pStyle w:val="Heading1"/>
                            <w:tabs>
                              <w:tab w:val="center" w:pos="3705"/>
                            </w:tabs>
                            <w:rPr>
                              <w:rFonts w:ascii="Times New Roman" w:hAnsi="Times New Roman"/>
                              <w:sz w:val="28"/>
                              <w:lang w:val="ru-RU"/>
                            </w:rPr>
                          </w:pPr>
                        </w:p>
                        <w:p w14:paraId="13D6DC73" w14:textId="77777777" w:rsidR="0044521E" w:rsidRPr="008121DC" w:rsidRDefault="0044521E"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0DCC60D"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66A90F8B" w14:textId="77777777" w:rsidR="0044521E" w:rsidRPr="008121DC" w:rsidRDefault="0044521E"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7EC62DC5" w14:textId="77777777" w:rsidR="0044521E" w:rsidRPr="008121DC" w:rsidRDefault="0044521E" w:rsidP="009B5F78">
                    <w:pPr>
                      <w:pStyle w:val="Heading1"/>
                      <w:tabs>
                        <w:tab w:val="center" w:pos="3705"/>
                      </w:tabs>
                      <w:rPr>
                        <w:rFonts w:ascii="Times New Roman" w:hAnsi="Times New Roman"/>
                        <w:sz w:val="28"/>
                        <w:lang w:val="ru-RU"/>
                      </w:rPr>
                    </w:pPr>
                  </w:p>
                  <w:p w14:paraId="13D6DC73" w14:textId="77777777" w:rsidR="0044521E" w:rsidRPr="008121DC" w:rsidRDefault="0044521E"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25F70781" wp14:editId="10E7B50F">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1BC82FC7" w14:textId="77777777" w:rsidR="0044521E" w:rsidRDefault="0044521E">
    <w:pPr>
      <w:autoSpaceDE w:val="0"/>
      <w:autoSpaceDN w:val="0"/>
      <w:adjustRightInd w:val="0"/>
      <w:spacing w:before="240" w:after="0" w:line="240" w:lineRule="auto"/>
      <w:ind w:left="-741" w:firstLine="0"/>
      <w:jc w:val="left"/>
      <w:rPr>
        <w:rFonts w:ascii="Times New Roman CYR" w:hAnsi="Times New Roman CYR"/>
        <w:color w:val="000000"/>
        <w:sz w:val="22"/>
      </w:rPr>
    </w:pPr>
  </w:p>
  <w:p w14:paraId="69DDB7DD" w14:textId="4035A218" w:rsidR="0044521E" w:rsidRPr="008A740C" w:rsidRDefault="009D6244"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r w:rsidR="0044521E" w:rsidRPr="002E6A50">
      <w:rPr>
        <w:rFonts w:ascii="Times New Roman CYR" w:hAnsi="Times New Roman CYR"/>
        <w:color w:val="000000"/>
        <w:sz w:val="22"/>
      </w:rPr>
      <w:t>зх</w:t>
    </w:r>
    <w:r w:rsidR="0044521E" w:rsidRPr="00F11DC8">
      <w:rPr>
        <w:rFonts w:ascii="Times New Roman CYR" w:hAnsi="Times New Roman CYR"/>
        <w:color w:val="000000"/>
        <w:sz w:val="22"/>
      </w:rPr>
      <w:t>. номер: КСИ-</w:t>
    </w:r>
    <w:r w:rsidR="0044521E" w:rsidRPr="008A740C">
      <w:rPr>
        <w:rFonts w:ascii="Times New Roman CYR" w:hAnsi="Times New Roman CYR"/>
        <w:color w:val="000000"/>
        <w:sz w:val="22"/>
      </w:rPr>
      <w:t>233</w:t>
    </w:r>
  </w:p>
  <w:p w14:paraId="79E37991" w14:textId="12D06C7D" w:rsidR="0044521E" w:rsidRPr="00AF5399" w:rsidRDefault="0044521E"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sidRPr="00820A5E">
      <w:rPr>
        <w:rFonts w:ascii="Times New Roman CYR" w:hAnsi="Times New Roman CYR"/>
        <w:color w:val="000000"/>
        <w:sz w:val="22"/>
      </w:rPr>
      <w:t xml:space="preserve">Дата: </w:t>
    </w:r>
    <w:r w:rsidR="00AF5399" w:rsidRPr="00AF5399">
      <w:rPr>
        <w:rFonts w:ascii="Times New Roman CYR" w:hAnsi="Times New Roman CYR"/>
        <w:color w:val="000000"/>
        <w:sz w:val="22"/>
      </w:rPr>
      <w:t>18.01.2019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7"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2"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4"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4"/>
  </w:num>
  <w:num w:numId="5">
    <w:abstractNumId w:val="17"/>
  </w:num>
  <w:num w:numId="6">
    <w:abstractNumId w:val="15"/>
  </w:num>
  <w:num w:numId="7">
    <w:abstractNumId w:val="14"/>
  </w:num>
  <w:num w:numId="8">
    <w:abstractNumId w:val="5"/>
  </w:num>
  <w:num w:numId="9">
    <w:abstractNumId w:val="7"/>
  </w:num>
  <w:num w:numId="10">
    <w:abstractNumId w:val="11"/>
  </w:num>
  <w:num w:numId="11">
    <w:abstractNumId w:val="13"/>
  </w:num>
  <w:num w:numId="12">
    <w:abstractNumId w:val="10"/>
  </w:num>
  <w:num w:numId="13">
    <w:abstractNumId w:val="9"/>
  </w:num>
  <w:num w:numId="14">
    <w:abstractNumId w:val="6"/>
  </w:num>
  <w:num w:numId="15">
    <w:abstractNumId w:val="0"/>
  </w:num>
  <w:num w:numId="16">
    <w:abstractNumId w:val="1"/>
  </w:num>
  <w:num w:numId="17">
    <w:abstractNumId w:val="2"/>
  </w:num>
  <w:num w:numId="18">
    <w:abstractNumId w:val="8"/>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4FD7"/>
    <w:rsid w:val="000069D8"/>
    <w:rsid w:val="000164F8"/>
    <w:rsid w:val="00016A64"/>
    <w:rsid w:val="00021753"/>
    <w:rsid w:val="00032DC0"/>
    <w:rsid w:val="00052312"/>
    <w:rsid w:val="00054917"/>
    <w:rsid w:val="00060ACA"/>
    <w:rsid w:val="00077A3B"/>
    <w:rsid w:val="000903FA"/>
    <w:rsid w:val="0009206E"/>
    <w:rsid w:val="00095480"/>
    <w:rsid w:val="000A0B30"/>
    <w:rsid w:val="000A302E"/>
    <w:rsid w:val="000A3611"/>
    <w:rsid w:val="000B02BD"/>
    <w:rsid w:val="000B278A"/>
    <w:rsid w:val="000B4F3A"/>
    <w:rsid w:val="000B6C0F"/>
    <w:rsid w:val="000B7AA0"/>
    <w:rsid w:val="000C33F4"/>
    <w:rsid w:val="000D1E4D"/>
    <w:rsid w:val="000D3C6B"/>
    <w:rsid w:val="000D44FC"/>
    <w:rsid w:val="000D5F2B"/>
    <w:rsid w:val="000D7590"/>
    <w:rsid w:val="000E0254"/>
    <w:rsid w:val="000E1D2D"/>
    <w:rsid w:val="000E60D6"/>
    <w:rsid w:val="000E7326"/>
    <w:rsid w:val="001141AE"/>
    <w:rsid w:val="00126567"/>
    <w:rsid w:val="0014041A"/>
    <w:rsid w:val="001425EE"/>
    <w:rsid w:val="00142706"/>
    <w:rsid w:val="001600CC"/>
    <w:rsid w:val="00173B9A"/>
    <w:rsid w:val="001760EA"/>
    <w:rsid w:val="00185EB7"/>
    <w:rsid w:val="00193C7A"/>
    <w:rsid w:val="00195990"/>
    <w:rsid w:val="00195E46"/>
    <w:rsid w:val="001A1190"/>
    <w:rsid w:val="001A1BF6"/>
    <w:rsid w:val="001A4F8E"/>
    <w:rsid w:val="001B50FD"/>
    <w:rsid w:val="001C0429"/>
    <w:rsid w:val="001C237A"/>
    <w:rsid w:val="001C50FB"/>
    <w:rsid w:val="001C6973"/>
    <w:rsid w:val="001D703F"/>
    <w:rsid w:val="00204EF2"/>
    <w:rsid w:val="00222D3B"/>
    <w:rsid w:val="00235E92"/>
    <w:rsid w:val="00246BF0"/>
    <w:rsid w:val="00251258"/>
    <w:rsid w:val="00251D52"/>
    <w:rsid w:val="0026662D"/>
    <w:rsid w:val="00270D8B"/>
    <w:rsid w:val="0027577A"/>
    <w:rsid w:val="00282700"/>
    <w:rsid w:val="00282E95"/>
    <w:rsid w:val="00284D4E"/>
    <w:rsid w:val="00286B6D"/>
    <w:rsid w:val="0029040D"/>
    <w:rsid w:val="0029310E"/>
    <w:rsid w:val="00296DA8"/>
    <w:rsid w:val="00297357"/>
    <w:rsid w:val="002A0275"/>
    <w:rsid w:val="002A34CD"/>
    <w:rsid w:val="002B51BD"/>
    <w:rsid w:val="002B599D"/>
    <w:rsid w:val="002C2C8B"/>
    <w:rsid w:val="002D1F08"/>
    <w:rsid w:val="002D293A"/>
    <w:rsid w:val="002D343A"/>
    <w:rsid w:val="002D6EAA"/>
    <w:rsid w:val="002D7497"/>
    <w:rsid w:val="002E5B48"/>
    <w:rsid w:val="002E6A50"/>
    <w:rsid w:val="002F6F6A"/>
    <w:rsid w:val="00304998"/>
    <w:rsid w:val="00304D6F"/>
    <w:rsid w:val="00313832"/>
    <w:rsid w:val="003153EA"/>
    <w:rsid w:val="00317056"/>
    <w:rsid w:val="00322091"/>
    <w:rsid w:val="00353ECD"/>
    <w:rsid w:val="0035545E"/>
    <w:rsid w:val="00356FE8"/>
    <w:rsid w:val="003627DF"/>
    <w:rsid w:val="00374B03"/>
    <w:rsid w:val="00376BFF"/>
    <w:rsid w:val="00377867"/>
    <w:rsid w:val="00380DC9"/>
    <w:rsid w:val="003843DE"/>
    <w:rsid w:val="00384FB5"/>
    <w:rsid w:val="003865D2"/>
    <w:rsid w:val="003935D9"/>
    <w:rsid w:val="0039398F"/>
    <w:rsid w:val="00393C03"/>
    <w:rsid w:val="00396C99"/>
    <w:rsid w:val="003A21FE"/>
    <w:rsid w:val="003A4B5A"/>
    <w:rsid w:val="003B7ECB"/>
    <w:rsid w:val="003C315F"/>
    <w:rsid w:val="003C43F1"/>
    <w:rsid w:val="003D36A0"/>
    <w:rsid w:val="003D680F"/>
    <w:rsid w:val="003F2838"/>
    <w:rsid w:val="003F7647"/>
    <w:rsid w:val="003F774E"/>
    <w:rsid w:val="004146B7"/>
    <w:rsid w:val="00415FFB"/>
    <w:rsid w:val="00416709"/>
    <w:rsid w:val="00442FEC"/>
    <w:rsid w:val="0044521E"/>
    <w:rsid w:val="00450B1F"/>
    <w:rsid w:val="004641AD"/>
    <w:rsid w:val="004830E3"/>
    <w:rsid w:val="00484944"/>
    <w:rsid w:val="00485DC6"/>
    <w:rsid w:val="004867E7"/>
    <w:rsid w:val="004A1820"/>
    <w:rsid w:val="004A4D51"/>
    <w:rsid w:val="004A668C"/>
    <w:rsid w:val="004B1846"/>
    <w:rsid w:val="004D0A94"/>
    <w:rsid w:val="004D1ADC"/>
    <w:rsid w:val="004D7355"/>
    <w:rsid w:val="004E2F14"/>
    <w:rsid w:val="004E3E43"/>
    <w:rsid w:val="004F27AB"/>
    <w:rsid w:val="00510444"/>
    <w:rsid w:val="005338F9"/>
    <w:rsid w:val="005430C6"/>
    <w:rsid w:val="0054572D"/>
    <w:rsid w:val="005460BC"/>
    <w:rsid w:val="00556416"/>
    <w:rsid w:val="005655D8"/>
    <w:rsid w:val="00565AFA"/>
    <w:rsid w:val="005728A5"/>
    <w:rsid w:val="005766D1"/>
    <w:rsid w:val="00581A3B"/>
    <w:rsid w:val="00582C6D"/>
    <w:rsid w:val="00584750"/>
    <w:rsid w:val="005A41D2"/>
    <w:rsid w:val="005A48BA"/>
    <w:rsid w:val="005B12A5"/>
    <w:rsid w:val="005B18BB"/>
    <w:rsid w:val="005B1ACF"/>
    <w:rsid w:val="005B60C0"/>
    <w:rsid w:val="005B7ACF"/>
    <w:rsid w:val="005C37E1"/>
    <w:rsid w:val="005D3F59"/>
    <w:rsid w:val="005D6824"/>
    <w:rsid w:val="005E169B"/>
    <w:rsid w:val="005F4714"/>
    <w:rsid w:val="005F6861"/>
    <w:rsid w:val="005F7B71"/>
    <w:rsid w:val="00600C6E"/>
    <w:rsid w:val="00600DDE"/>
    <w:rsid w:val="00602EE2"/>
    <w:rsid w:val="00612E60"/>
    <w:rsid w:val="00616BEA"/>
    <w:rsid w:val="006273FB"/>
    <w:rsid w:val="00643BED"/>
    <w:rsid w:val="006450C7"/>
    <w:rsid w:val="006454F7"/>
    <w:rsid w:val="00655CE2"/>
    <w:rsid w:val="00657F0D"/>
    <w:rsid w:val="00660F80"/>
    <w:rsid w:val="00662F9A"/>
    <w:rsid w:val="0066708A"/>
    <w:rsid w:val="006674AD"/>
    <w:rsid w:val="006739C9"/>
    <w:rsid w:val="00674D09"/>
    <w:rsid w:val="00675007"/>
    <w:rsid w:val="006752CB"/>
    <w:rsid w:val="006755EC"/>
    <w:rsid w:val="00682F1B"/>
    <w:rsid w:val="00690144"/>
    <w:rsid w:val="006908E4"/>
    <w:rsid w:val="00693EAD"/>
    <w:rsid w:val="006A0CCC"/>
    <w:rsid w:val="006A4D94"/>
    <w:rsid w:val="006A5905"/>
    <w:rsid w:val="006B3470"/>
    <w:rsid w:val="006B432C"/>
    <w:rsid w:val="006B6B05"/>
    <w:rsid w:val="006C0872"/>
    <w:rsid w:val="006D08A2"/>
    <w:rsid w:val="006E06B9"/>
    <w:rsid w:val="006E374E"/>
    <w:rsid w:val="006E48DF"/>
    <w:rsid w:val="006F1669"/>
    <w:rsid w:val="006F49FD"/>
    <w:rsid w:val="007029DD"/>
    <w:rsid w:val="00707EB5"/>
    <w:rsid w:val="0071415A"/>
    <w:rsid w:val="00717957"/>
    <w:rsid w:val="00732965"/>
    <w:rsid w:val="00735B5E"/>
    <w:rsid w:val="00737908"/>
    <w:rsid w:val="0074474E"/>
    <w:rsid w:val="0074599D"/>
    <w:rsid w:val="007471A9"/>
    <w:rsid w:val="007474AC"/>
    <w:rsid w:val="00761BE9"/>
    <w:rsid w:val="00770981"/>
    <w:rsid w:val="007709B6"/>
    <w:rsid w:val="00772E19"/>
    <w:rsid w:val="007731B8"/>
    <w:rsid w:val="007821A1"/>
    <w:rsid w:val="00791458"/>
    <w:rsid w:val="007A0F50"/>
    <w:rsid w:val="007A358A"/>
    <w:rsid w:val="007A5E11"/>
    <w:rsid w:val="007B1E88"/>
    <w:rsid w:val="007B3400"/>
    <w:rsid w:val="007B485B"/>
    <w:rsid w:val="007D1072"/>
    <w:rsid w:val="007D18D4"/>
    <w:rsid w:val="007D3ADF"/>
    <w:rsid w:val="007D424E"/>
    <w:rsid w:val="007D7443"/>
    <w:rsid w:val="007E2592"/>
    <w:rsid w:val="007E386E"/>
    <w:rsid w:val="007E769B"/>
    <w:rsid w:val="007E77CC"/>
    <w:rsid w:val="007F7D27"/>
    <w:rsid w:val="00800DD0"/>
    <w:rsid w:val="00801FB5"/>
    <w:rsid w:val="00806F68"/>
    <w:rsid w:val="008103DE"/>
    <w:rsid w:val="008121DC"/>
    <w:rsid w:val="00820A5E"/>
    <w:rsid w:val="008319CD"/>
    <w:rsid w:val="008511E5"/>
    <w:rsid w:val="00856ECC"/>
    <w:rsid w:val="00871030"/>
    <w:rsid w:val="00893DB5"/>
    <w:rsid w:val="00897503"/>
    <w:rsid w:val="008A3C0D"/>
    <w:rsid w:val="008A71C9"/>
    <w:rsid w:val="008A740C"/>
    <w:rsid w:val="008B0678"/>
    <w:rsid w:val="008B5F15"/>
    <w:rsid w:val="008D23A7"/>
    <w:rsid w:val="008E0DFE"/>
    <w:rsid w:val="008F596C"/>
    <w:rsid w:val="00901CF2"/>
    <w:rsid w:val="009061BA"/>
    <w:rsid w:val="0091618B"/>
    <w:rsid w:val="009206B1"/>
    <w:rsid w:val="00941378"/>
    <w:rsid w:val="00955888"/>
    <w:rsid w:val="00957729"/>
    <w:rsid w:val="00962510"/>
    <w:rsid w:val="00962CEE"/>
    <w:rsid w:val="00971D0B"/>
    <w:rsid w:val="009748FC"/>
    <w:rsid w:val="0099411E"/>
    <w:rsid w:val="0099644D"/>
    <w:rsid w:val="009A5947"/>
    <w:rsid w:val="009B2D9E"/>
    <w:rsid w:val="009B3F72"/>
    <w:rsid w:val="009B5F78"/>
    <w:rsid w:val="009C07CA"/>
    <w:rsid w:val="009C1FE5"/>
    <w:rsid w:val="009D09B9"/>
    <w:rsid w:val="009D0C47"/>
    <w:rsid w:val="009D1715"/>
    <w:rsid w:val="009D6244"/>
    <w:rsid w:val="009F1B49"/>
    <w:rsid w:val="00A00BD8"/>
    <w:rsid w:val="00A0364E"/>
    <w:rsid w:val="00A060A3"/>
    <w:rsid w:val="00A127FE"/>
    <w:rsid w:val="00A1329A"/>
    <w:rsid w:val="00A13D6D"/>
    <w:rsid w:val="00A2269A"/>
    <w:rsid w:val="00A24398"/>
    <w:rsid w:val="00A269B7"/>
    <w:rsid w:val="00A27A33"/>
    <w:rsid w:val="00A42316"/>
    <w:rsid w:val="00A55C7B"/>
    <w:rsid w:val="00A624CD"/>
    <w:rsid w:val="00A67CB5"/>
    <w:rsid w:val="00A83601"/>
    <w:rsid w:val="00A9468D"/>
    <w:rsid w:val="00AA16AD"/>
    <w:rsid w:val="00AB5553"/>
    <w:rsid w:val="00AB59CE"/>
    <w:rsid w:val="00AB654D"/>
    <w:rsid w:val="00AC1EB0"/>
    <w:rsid w:val="00AC2169"/>
    <w:rsid w:val="00AC4FCE"/>
    <w:rsid w:val="00AC6D8D"/>
    <w:rsid w:val="00AC7824"/>
    <w:rsid w:val="00AD0EA3"/>
    <w:rsid w:val="00AD19D5"/>
    <w:rsid w:val="00AD36F5"/>
    <w:rsid w:val="00AD669C"/>
    <w:rsid w:val="00AE1661"/>
    <w:rsid w:val="00AE21D1"/>
    <w:rsid w:val="00AF2F8D"/>
    <w:rsid w:val="00AF5399"/>
    <w:rsid w:val="00B018F8"/>
    <w:rsid w:val="00B04866"/>
    <w:rsid w:val="00B07AD8"/>
    <w:rsid w:val="00B11F8B"/>
    <w:rsid w:val="00B15F0C"/>
    <w:rsid w:val="00B21FB2"/>
    <w:rsid w:val="00B256B9"/>
    <w:rsid w:val="00B26A05"/>
    <w:rsid w:val="00B54B71"/>
    <w:rsid w:val="00B627C3"/>
    <w:rsid w:val="00B647F3"/>
    <w:rsid w:val="00B67304"/>
    <w:rsid w:val="00B77B14"/>
    <w:rsid w:val="00B83B78"/>
    <w:rsid w:val="00B847BE"/>
    <w:rsid w:val="00B85DDC"/>
    <w:rsid w:val="00B867BD"/>
    <w:rsid w:val="00B86C41"/>
    <w:rsid w:val="00B90277"/>
    <w:rsid w:val="00BA4CF4"/>
    <w:rsid w:val="00BA6578"/>
    <w:rsid w:val="00BB32E3"/>
    <w:rsid w:val="00BB37C1"/>
    <w:rsid w:val="00BC00F2"/>
    <w:rsid w:val="00BC2A8B"/>
    <w:rsid w:val="00BF105F"/>
    <w:rsid w:val="00BF7DF1"/>
    <w:rsid w:val="00C03522"/>
    <w:rsid w:val="00C04B9C"/>
    <w:rsid w:val="00C1049F"/>
    <w:rsid w:val="00C17C60"/>
    <w:rsid w:val="00C2347F"/>
    <w:rsid w:val="00C25071"/>
    <w:rsid w:val="00C50315"/>
    <w:rsid w:val="00C5353D"/>
    <w:rsid w:val="00C66C4D"/>
    <w:rsid w:val="00C72E2B"/>
    <w:rsid w:val="00C82C7E"/>
    <w:rsid w:val="00C84B27"/>
    <w:rsid w:val="00CA5142"/>
    <w:rsid w:val="00CB03A9"/>
    <w:rsid w:val="00CB1714"/>
    <w:rsid w:val="00CC40E1"/>
    <w:rsid w:val="00CD4B43"/>
    <w:rsid w:val="00CD4EBC"/>
    <w:rsid w:val="00CD7563"/>
    <w:rsid w:val="00CF25B5"/>
    <w:rsid w:val="00D04E2E"/>
    <w:rsid w:val="00D174D8"/>
    <w:rsid w:val="00D2234E"/>
    <w:rsid w:val="00D37B03"/>
    <w:rsid w:val="00D418B1"/>
    <w:rsid w:val="00D55592"/>
    <w:rsid w:val="00D6158B"/>
    <w:rsid w:val="00D728AA"/>
    <w:rsid w:val="00D81E24"/>
    <w:rsid w:val="00D850A5"/>
    <w:rsid w:val="00D9037B"/>
    <w:rsid w:val="00D9433F"/>
    <w:rsid w:val="00D94DB1"/>
    <w:rsid w:val="00D94E23"/>
    <w:rsid w:val="00DA3A50"/>
    <w:rsid w:val="00DB1972"/>
    <w:rsid w:val="00DC30BE"/>
    <w:rsid w:val="00DC3B93"/>
    <w:rsid w:val="00DC468C"/>
    <w:rsid w:val="00DC783C"/>
    <w:rsid w:val="00DE03E6"/>
    <w:rsid w:val="00DE4008"/>
    <w:rsid w:val="00DE7881"/>
    <w:rsid w:val="00DF742F"/>
    <w:rsid w:val="00E0021A"/>
    <w:rsid w:val="00E01C5C"/>
    <w:rsid w:val="00E04D1E"/>
    <w:rsid w:val="00E071CE"/>
    <w:rsid w:val="00E167B4"/>
    <w:rsid w:val="00E23ACA"/>
    <w:rsid w:val="00E3231C"/>
    <w:rsid w:val="00E3240D"/>
    <w:rsid w:val="00E53726"/>
    <w:rsid w:val="00E576E8"/>
    <w:rsid w:val="00E66FCA"/>
    <w:rsid w:val="00E7009E"/>
    <w:rsid w:val="00E7064C"/>
    <w:rsid w:val="00E7391B"/>
    <w:rsid w:val="00E82EC7"/>
    <w:rsid w:val="00E83EC0"/>
    <w:rsid w:val="00E84A47"/>
    <w:rsid w:val="00E85D02"/>
    <w:rsid w:val="00EA39A1"/>
    <w:rsid w:val="00EA6E92"/>
    <w:rsid w:val="00EA7131"/>
    <w:rsid w:val="00EB0082"/>
    <w:rsid w:val="00EB0D08"/>
    <w:rsid w:val="00EB1495"/>
    <w:rsid w:val="00EC1267"/>
    <w:rsid w:val="00ED0868"/>
    <w:rsid w:val="00ED32EC"/>
    <w:rsid w:val="00ED5C84"/>
    <w:rsid w:val="00ED752C"/>
    <w:rsid w:val="00EE3DE2"/>
    <w:rsid w:val="00EF47A0"/>
    <w:rsid w:val="00EF7E73"/>
    <w:rsid w:val="00F037E0"/>
    <w:rsid w:val="00F05426"/>
    <w:rsid w:val="00F10CD5"/>
    <w:rsid w:val="00F11DC8"/>
    <w:rsid w:val="00F26021"/>
    <w:rsid w:val="00F2669F"/>
    <w:rsid w:val="00F312AE"/>
    <w:rsid w:val="00F418A4"/>
    <w:rsid w:val="00F42A42"/>
    <w:rsid w:val="00F52568"/>
    <w:rsid w:val="00F52705"/>
    <w:rsid w:val="00F60643"/>
    <w:rsid w:val="00F60EE1"/>
    <w:rsid w:val="00F627F9"/>
    <w:rsid w:val="00F752DF"/>
    <w:rsid w:val="00F8182A"/>
    <w:rsid w:val="00F82FFB"/>
    <w:rsid w:val="00F83B53"/>
    <w:rsid w:val="00F86269"/>
    <w:rsid w:val="00F90E13"/>
    <w:rsid w:val="00F94FF8"/>
    <w:rsid w:val="00FA67DB"/>
    <w:rsid w:val="00FC3705"/>
    <w:rsid w:val="00FC56E6"/>
    <w:rsid w:val="00FE7794"/>
    <w:rsid w:val="00FF1AC6"/>
    <w:rsid w:val="00FF2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164C349"/>
  <w15:docId w15:val="{89975E2D-91B1-46DB-B319-07837915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9AFE-A706-44B3-8848-88F707B2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Petia Belova</cp:lastModifiedBy>
  <cp:revision>5</cp:revision>
  <cp:lastPrinted>2019-01-18T14:08:00Z</cp:lastPrinted>
  <dcterms:created xsi:type="dcterms:W3CDTF">2019-01-18T14:34:00Z</dcterms:created>
  <dcterms:modified xsi:type="dcterms:W3CDTF">2019-01-18T14:47:00Z</dcterms:modified>
</cp:coreProperties>
</file>